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80" w:rsidRDefault="00231ED9">
      <w:pPr>
        <w:adjustRightInd w:val="0"/>
        <w:snapToGrid w:val="0"/>
        <w:spacing w:line="360" w:lineRule="auto"/>
        <w:jc w:val="center"/>
        <w:rPr>
          <w:rFonts w:eastAsia="方正小标宋简体"/>
          <w:sz w:val="32"/>
          <w:szCs w:val="32"/>
        </w:rPr>
      </w:pPr>
      <w:bookmarkStart w:id="0" w:name="_GoBack"/>
      <w:bookmarkEnd w:id="0"/>
      <w:r>
        <w:rPr>
          <w:rFonts w:eastAsia="方正小标宋简体"/>
          <w:sz w:val="32"/>
          <w:szCs w:val="32"/>
        </w:rPr>
        <w:t>陶瓷砖产品质量监督抽查实施细则</w:t>
      </w:r>
    </w:p>
    <w:p w:rsidR="00842080" w:rsidRDefault="00231ED9">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w:t>
      </w:r>
      <w:r>
        <w:rPr>
          <w:rFonts w:eastAsia="黑体"/>
          <w:b/>
          <w:szCs w:val="21"/>
        </w:rPr>
        <w:t>样方法</w:t>
      </w:r>
    </w:p>
    <w:p w:rsidR="00842080" w:rsidRDefault="00231ED9">
      <w:pPr>
        <w:spacing w:line="360" w:lineRule="auto"/>
        <w:ind w:firstLineChars="200" w:firstLine="420"/>
        <w:rPr>
          <w:rFonts w:eastAsiaTheme="minorEastAsia"/>
        </w:rPr>
      </w:pPr>
      <w:r>
        <w:rPr>
          <w:rFonts w:eastAsiaTheme="minorEastAsia" w:hAnsiTheme="minorEastAsia"/>
        </w:rPr>
        <w:t>在</w:t>
      </w:r>
      <w:r>
        <w:rPr>
          <w:rFonts w:eastAsiaTheme="minorEastAsia" w:hAnsiTheme="minorEastAsia" w:hint="eastAsia"/>
        </w:rPr>
        <w:t>生产</w:t>
      </w:r>
      <w:r>
        <w:rPr>
          <w:rFonts w:eastAsiaTheme="minorEastAsia" w:hAnsiTheme="minorEastAsia"/>
        </w:rPr>
        <w:t>企业的成品库里及</w:t>
      </w:r>
      <w:r>
        <w:rPr>
          <w:rFonts w:eastAsiaTheme="minorEastAsia" w:hAnsiTheme="minorEastAsia" w:hint="eastAsia"/>
        </w:rPr>
        <w:t>流通领域的</w:t>
      </w:r>
      <w:r>
        <w:rPr>
          <w:rFonts w:eastAsiaTheme="minorEastAsia" w:hAnsiTheme="minorEastAsia"/>
        </w:rPr>
        <w:t>市场待销产品中随机抽取有产品质量检验合格证明或者以其他形式表明合格的、十二个月以内（由抽样机构到企业抽样日期倒推）生产的产品。</w:t>
      </w:r>
    </w:p>
    <w:p w:rsidR="00842080" w:rsidRDefault="00231ED9">
      <w:pPr>
        <w:spacing w:line="360" w:lineRule="auto"/>
        <w:ind w:firstLineChars="200" w:firstLine="420"/>
        <w:rPr>
          <w:rFonts w:eastAsiaTheme="minorEastAsia"/>
        </w:rPr>
      </w:pPr>
      <w:r>
        <w:rPr>
          <w:rFonts w:eastAsiaTheme="minorEastAsia" w:hAnsiTheme="minorEastAsia"/>
        </w:rPr>
        <w:t>抽取样品应为同一生产企业生产的同一种类、同一型号规格、同一批次的产品。</w:t>
      </w:r>
    </w:p>
    <w:p w:rsidR="00842080" w:rsidRDefault="00231ED9">
      <w:pPr>
        <w:spacing w:line="360" w:lineRule="auto"/>
        <w:ind w:firstLineChars="200" w:firstLine="420"/>
        <w:rPr>
          <w:rFonts w:eastAsiaTheme="minorEastAsia"/>
        </w:rPr>
      </w:pPr>
      <w:r>
        <w:rPr>
          <w:rFonts w:eastAsiaTheme="minorEastAsia" w:hAnsiTheme="minorEastAsia"/>
        </w:rPr>
        <w:t>在生产企</w:t>
      </w:r>
      <w:r>
        <w:rPr>
          <w:rFonts w:eastAsiaTheme="minorEastAsia" w:hAnsiTheme="minorEastAsia" w:hint="eastAsia"/>
        </w:rPr>
        <w:t>业</w:t>
      </w:r>
      <w:r>
        <w:rPr>
          <w:rFonts w:eastAsiaTheme="minorEastAsia" w:hAnsiTheme="minorEastAsia"/>
        </w:rPr>
        <w:t>抽样时，抽样基数不少于</w:t>
      </w:r>
      <w:r>
        <w:rPr>
          <w:rFonts w:eastAsiaTheme="minorEastAsia"/>
        </w:rPr>
        <w:t>50</w:t>
      </w:r>
      <w:r>
        <w:rPr>
          <w:rFonts w:eastAsiaTheme="minorEastAsia" w:hAnsiTheme="minorEastAsia"/>
        </w:rPr>
        <w:t>件（箱）。每批次产品抽取样品数量与陶瓷砖长边长度相关，长边长度小于</w:t>
      </w:r>
      <w:r>
        <w:rPr>
          <w:rFonts w:eastAsiaTheme="minorEastAsia"/>
        </w:rPr>
        <w:t xml:space="preserve">600mm </w:t>
      </w:r>
      <w:r>
        <w:rPr>
          <w:rFonts w:eastAsiaTheme="minorEastAsia" w:hAnsiTheme="minorEastAsia"/>
        </w:rPr>
        <w:t>规格的陶瓷砖抽取检验样品数量最少为</w:t>
      </w:r>
      <w:r>
        <w:rPr>
          <w:rFonts w:eastAsiaTheme="minorEastAsia"/>
        </w:rPr>
        <w:t>17</w:t>
      </w:r>
      <w:r>
        <w:rPr>
          <w:rFonts w:eastAsiaTheme="minorEastAsia" w:hAnsiTheme="minorEastAsia"/>
        </w:rPr>
        <w:t>块，备样量最少为</w:t>
      </w:r>
      <w:r>
        <w:rPr>
          <w:rFonts w:eastAsiaTheme="minorEastAsia"/>
        </w:rPr>
        <w:t>17</w:t>
      </w:r>
      <w:r>
        <w:rPr>
          <w:rFonts w:eastAsiaTheme="minorEastAsia" w:hAnsiTheme="minorEastAsia"/>
        </w:rPr>
        <w:t>块；长边长度不小于</w:t>
      </w:r>
      <w:r>
        <w:rPr>
          <w:rFonts w:eastAsiaTheme="minorEastAsia"/>
        </w:rPr>
        <w:t xml:space="preserve">600mm </w:t>
      </w:r>
      <w:r>
        <w:rPr>
          <w:rFonts w:eastAsiaTheme="minorEastAsia" w:hAnsiTheme="minorEastAsia"/>
        </w:rPr>
        <w:t>规格的陶瓷砖抽取检验样品数量最少为</w:t>
      </w:r>
      <w:r>
        <w:rPr>
          <w:rFonts w:eastAsiaTheme="minorEastAsia"/>
        </w:rPr>
        <w:t>12</w:t>
      </w:r>
      <w:r>
        <w:rPr>
          <w:rFonts w:eastAsiaTheme="minorEastAsia" w:hAnsiTheme="minorEastAsia"/>
        </w:rPr>
        <w:t>块，备用样品数量最少为</w:t>
      </w:r>
      <w:r>
        <w:rPr>
          <w:rFonts w:eastAsiaTheme="minorEastAsia"/>
        </w:rPr>
        <w:t>12</w:t>
      </w:r>
      <w:r>
        <w:rPr>
          <w:rFonts w:eastAsiaTheme="minorEastAsia" w:hAnsiTheme="minorEastAsia"/>
        </w:rPr>
        <w:t>块。</w:t>
      </w:r>
    </w:p>
    <w:p w:rsidR="00842080" w:rsidRDefault="00231ED9">
      <w:pPr>
        <w:spacing w:line="360" w:lineRule="auto"/>
        <w:ind w:firstLineChars="200" w:firstLine="420"/>
        <w:rPr>
          <w:rFonts w:eastAsiaTheme="minorEastAsia"/>
        </w:rPr>
      </w:pPr>
      <w:r>
        <w:rPr>
          <w:rFonts w:eastAsiaTheme="minorEastAsia" w:hAnsiTheme="minorEastAsia"/>
        </w:rPr>
        <w:t>在流通领域抽样时，抽查样品基数满足抽样数</w:t>
      </w:r>
      <w:r>
        <w:rPr>
          <w:rFonts w:eastAsiaTheme="minorEastAsia" w:hAnsiTheme="minorEastAsia"/>
        </w:rPr>
        <w:t>量即可，抽样样品量要求与生产领域抽样时相同。</w:t>
      </w:r>
    </w:p>
    <w:p w:rsidR="00842080" w:rsidRDefault="00231ED9">
      <w:pPr>
        <w:spacing w:line="360" w:lineRule="auto"/>
        <w:ind w:firstLineChars="200" w:firstLine="420"/>
        <w:rPr>
          <w:rFonts w:eastAsiaTheme="minorEastAsia"/>
        </w:rPr>
      </w:pPr>
      <w:r>
        <w:rPr>
          <w:rFonts w:eastAsiaTheme="minorEastAsia" w:hAnsiTheme="minorEastAsia"/>
        </w:rPr>
        <w:t>严格按照相关产品标准中有关抽样规则进行样品采取。</w:t>
      </w:r>
    </w:p>
    <w:p w:rsidR="00842080" w:rsidRDefault="00231ED9">
      <w:pPr>
        <w:spacing w:line="360" w:lineRule="auto"/>
        <w:ind w:firstLineChars="200" w:firstLine="420"/>
        <w:rPr>
          <w:rFonts w:eastAsiaTheme="minorEastAsia"/>
        </w:rPr>
      </w:pPr>
      <w:r>
        <w:rPr>
          <w:rFonts w:eastAsiaTheme="minorEastAsia" w:hAnsiTheme="minorEastAsia"/>
        </w:rPr>
        <w:t>随机数一般可使用随机数表、骰子或扑克牌等方法产生。</w:t>
      </w:r>
    </w:p>
    <w:p w:rsidR="00842080" w:rsidRDefault="00842080">
      <w:pPr>
        <w:spacing w:line="360" w:lineRule="auto"/>
        <w:ind w:firstLineChars="200" w:firstLine="420"/>
        <w:rPr>
          <w:rFonts w:eastAsiaTheme="minorEastAsia"/>
        </w:rPr>
      </w:pPr>
    </w:p>
    <w:p w:rsidR="00842080" w:rsidRDefault="00231ED9">
      <w:pPr>
        <w:adjustRightInd w:val="0"/>
        <w:snapToGrid w:val="0"/>
        <w:spacing w:line="360" w:lineRule="auto"/>
        <w:rPr>
          <w:rFonts w:eastAsia="黑体"/>
          <w:b/>
          <w:szCs w:val="21"/>
        </w:rPr>
      </w:pPr>
      <w:r>
        <w:rPr>
          <w:rFonts w:eastAsia="黑体"/>
          <w:b/>
          <w:szCs w:val="21"/>
        </w:rPr>
        <w:t xml:space="preserve">2 </w:t>
      </w:r>
      <w:r>
        <w:rPr>
          <w:rFonts w:eastAsia="黑体" w:hAnsi="黑体"/>
          <w:b/>
          <w:szCs w:val="21"/>
        </w:rPr>
        <w:t>检验</w:t>
      </w:r>
      <w:r>
        <w:rPr>
          <w:rFonts w:eastAsia="黑体"/>
          <w:b/>
          <w:szCs w:val="21"/>
        </w:rPr>
        <w:t>依据</w:t>
      </w:r>
    </w:p>
    <w:p w:rsidR="00842080" w:rsidRDefault="00231ED9">
      <w:pPr>
        <w:snapToGrid w:val="0"/>
        <w:spacing w:line="360" w:lineRule="auto"/>
        <w:ind w:firstLineChars="200" w:firstLine="420"/>
        <w:rPr>
          <w:color w:val="000000"/>
          <w:szCs w:val="21"/>
        </w:rPr>
      </w:pPr>
      <w:r>
        <w:rPr>
          <w:color w:val="000000"/>
          <w:szCs w:val="21"/>
        </w:rPr>
        <w:t>检验项目见表</w:t>
      </w:r>
      <w:r>
        <w:rPr>
          <w:color w:val="000000"/>
          <w:szCs w:val="21"/>
        </w:rPr>
        <w:t>1</w:t>
      </w:r>
      <w:r>
        <w:rPr>
          <w:color w:val="000000"/>
          <w:szCs w:val="21"/>
        </w:rPr>
        <w:t>。</w:t>
      </w:r>
    </w:p>
    <w:p w:rsidR="00842080" w:rsidRDefault="00231ED9">
      <w:pPr>
        <w:snapToGrid w:val="0"/>
        <w:spacing w:line="360" w:lineRule="auto"/>
        <w:jc w:val="center"/>
        <w:rPr>
          <w:rFonts w:eastAsiaTheme="minorEastAsia"/>
          <w:bCs/>
          <w:color w:val="000000"/>
          <w:sz w:val="18"/>
          <w:szCs w:val="18"/>
        </w:rPr>
      </w:pPr>
      <w:r>
        <w:rPr>
          <w:rFonts w:eastAsiaTheme="minorEastAsia" w:hAnsiTheme="minorEastAsia"/>
          <w:bCs/>
          <w:color w:val="000000"/>
          <w:sz w:val="18"/>
          <w:szCs w:val="18"/>
        </w:rPr>
        <w:t>表</w:t>
      </w:r>
      <w:r>
        <w:rPr>
          <w:rFonts w:eastAsiaTheme="minorEastAsia"/>
          <w:bCs/>
          <w:color w:val="000000"/>
          <w:sz w:val="18"/>
          <w:szCs w:val="18"/>
        </w:rPr>
        <w:t xml:space="preserve">1  </w:t>
      </w:r>
      <w:r>
        <w:rPr>
          <w:rFonts w:eastAsiaTheme="minorEastAsia" w:hAnsiTheme="minorEastAsia"/>
          <w:bCs/>
          <w:color w:val="000000"/>
          <w:sz w:val="18"/>
          <w:szCs w:val="18"/>
        </w:rPr>
        <w:t>陶瓷砖检验项目</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384"/>
        <w:gridCol w:w="2722"/>
        <w:gridCol w:w="2470"/>
      </w:tblGrid>
      <w:tr w:rsidR="00842080">
        <w:trPr>
          <w:trHeight w:val="507"/>
          <w:jc w:val="center"/>
        </w:trPr>
        <w:tc>
          <w:tcPr>
            <w:tcW w:w="720" w:type="dxa"/>
            <w:noWrap/>
            <w:vAlign w:val="center"/>
          </w:tcPr>
          <w:p w:rsidR="00842080" w:rsidRDefault="00231ED9">
            <w:pPr>
              <w:snapToGrid w:val="0"/>
              <w:jc w:val="center"/>
              <w:rPr>
                <w:rFonts w:eastAsia="黑体"/>
                <w:bCs/>
                <w:color w:val="000000"/>
                <w:sz w:val="18"/>
                <w:szCs w:val="18"/>
              </w:rPr>
            </w:pPr>
            <w:r>
              <w:rPr>
                <w:rFonts w:eastAsia="黑体" w:hAnsi="黑体"/>
                <w:bCs/>
                <w:color w:val="000000"/>
                <w:sz w:val="18"/>
                <w:szCs w:val="18"/>
              </w:rPr>
              <w:t>序号</w:t>
            </w:r>
          </w:p>
        </w:tc>
        <w:tc>
          <w:tcPr>
            <w:tcW w:w="3384" w:type="dxa"/>
            <w:noWrap/>
            <w:vAlign w:val="center"/>
          </w:tcPr>
          <w:p w:rsidR="00842080" w:rsidRDefault="00231ED9">
            <w:pPr>
              <w:snapToGrid w:val="0"/>
              <w:jc w:val="center"/>
              <w:rPr>
                <w:rFonts w:eastAsia="黑体"/>
                <w:bCs/>
                <w:color w:val="000000"/>
                <w:sz w:val="18"/>
                <w:szCs w:val="18"/>
              </w:rPr>
            </w:pPr>
            <w:r>
              <w:rPr>
                <w:rFonts w:eastAsia="黑体" w:hAnsi="黑体"/>
                <w:bCs/>
                <w:color w:val="000000"/>
                <w:sz w:val="18"/>
                <w:szCs w:val="18"/>
              </w:rPr>
              <w:t>检验项目</w:t>
            </w:r>
          </w:p>
        </w:tc>
        <w:tc>
          <w:tcPr>
            <w:tcW w:w="2722" w:type="dxa"/>
            <w:noWrap/>
            <w:vAlign w:val="center"/>
          </w:tcPr>
          <w:p w:rsidR="00842080" w:rsidRDefault="00231ED9">
            <w:pPr>
              <w:jc w:val="center"/>
              <w:rPr>
                <w:rFonts w:eastAsia="黑体"/>
                <w:sz w:val="18"/>
                <w:szCs w:val="18"/>
              </w:rPr>
            </w:pPr>
            <w:r>
              <w:rPr>
                <w:rFonts w:eastAsia="黑体" w:hAnsi="黑体"/>
                <w:sz w:val="18"/>
                <w:szCs w:val="18"/>
              </w:rPr>
              <w:t>判定依据</w:t>
            </w:r>
          </w:p>
        </w:tc>
        <w:tc>
          <w:tcPr>
            <w:tcW w:w="2470" w:type="dxa"/>
            <w:noWrap/>
            <w:vAlign w:val="center"/>
          </w:tcPr>
          <w:p w:rsidR="00842080" w:rsidRDefault="00231ED9">
            <w:pPr>
              <w:jc w:val="center"/>
              <w:rPr>
                <w:rFonts w:eastAsia="黑体"/>
                <w:sz w:val="18"/>
                <w:szCs w:val="18"/>
              </w:rPr>
            </w:pPr>
            <w:r>
              <w:rPr>
                <w:rFonts w:eastAsia="黑体" w:hAnsi="黑体"/>
                <w:sz w:val="18"/>
                <w:szCs w:val="18"/>
              </w:rPr>
              <w:t>检验方法</w:t>
            </w:r>
          </w:p>
        </w:tc>
      </w:tr>
      <w:tr w:rsidR="00842080">
        <w:trPr>
          <w:trHeight w:val="507"/>
          <w:jc w:val="center"/>
        </w:trPr>
        <w:tc>
          <w:tcPr>
            <w:tcW w:w="720" w:type="dxa"/>
            <w:noWrap/>
            <w:vAlign w:val="center"/>
          </w:tcPr>
          <w:p w:rsidR="00842080" w:rsidRDefault="00231ED9">
            <w:pPr>
              <w:snapToGrid w:val="0"/>
              <w:jc w:val="center"/>
              <w:rPr>
                <w:rFonts w:eastAsia="黑体"/>
                <w:bCs/>
                <w:color w:val="000000"/>
                <w:sz w:val="18"/>
                <w:szCs w:val="18"/>
              </w:rPr>
            </w:pPr>
            <w:r>
              <w:rPr>
                <w:rFonts w:eastAsia="黑体"/>
                <w:bCs/>
                <w:color w:val="000000"/>
                <w:sz w:val="18"/>
                <w:szCs w:val="18"/>
              </w:rPr>
              <w:t>1</w:t>
            </w:r>
          </w:p>
        </w:tc>
        <w:tc>
          <w:tcPr>
            <w:tcW w:w="3384" w:type="dxa"/>
            <w:noWrap/>
            <w:vAlign w:val="center"/>
          </w:tcPr>
          <w:p w:rsidR="00842080" w:rsidRDefault="00231ED9">
            <w:pPr>
              <w:jc w:val="center"/>
              <w:rPr>
                <w:rFonts w:eastAsia="黑体"/>
                <w:sz w:val="18"/>
                <w:szCs w:val="18"/>
              </w:rPr>
            </w:pPr>
            <w:r>
              <w:rPr>
                <w:rFonts w:eastAsia="黑体" w:hAnsi="黑体"/>
                <w:sz w:val="18"/>
                <w:szCs w:val="18"/>
              </w:rPr>
              <w:t>吸水率</w:t>
            </w:r>
          </w:p>
        </w:tc>
        <w:tc>
          <w:tcPr>
            <w:tcW w:w="2722" w:type="dxa"/>
            <w:vMerge w:val="restart"/>
            <w:noWrap/>
            <w:vAlign w:val="center"/>
          </w:tcPr>
          <w:p w:rsidR="00842080" w:rsidRDefault="00231ED9">
            <w:pPr>
              <w:snapToGrid w:val="0"/>
              <w:jc w:val="center"/>
              <w:rPr>
                <w:rFonts w:eastAsia="黑体"/>
                <w:bCs/>
                <w:color w:val="000000"/>
                <w:sz w:val="18"/>
                <w:szCs w:val="18"/>
              </w:rPr>
            </w:pPr>
            <w:r>
              <w:rPr>
                <w:rFonts w:eastAsia="黑体"/>
                <w:sz w:val="18"/>
                <w:szCs w:val="18"/>
              </w:rPr>
              <w:t>GB/T 4100-2015</w:t>
            </w:r>
          </w:p>
        </w:tc>
        <w:tc>
          <w:tcPr>
            <w:tcW w:w="2470" w:type="dxa"/>
            <w:noWrap/>
            <w:vAlign w:val="center"/>
          </w:tcPr>
          <w:p w:rsidR="00842080" w:rsidRDefault="00231ED9">
            <w:pPr>
              <w:snapToGrid w:val="0"/>
              <w:jc w:val="center"/>
              <w:rPr>
                <w:rFonts w:eastAsia="黑体"/>
                <w:bCs/>
                <w:color w:val="000000"/>
                <w:sz w:val="18"/>
                <w:szCs w:val="18"/>
              </w:rPr>
            </w:pPr>
            <w:r>
              <w:rPr>
                <w:rFonts w:eastAsia="黑体"/>
                <w:bCs/>
                <w:sz w:val="18"/>
                <w:szCs w:val="18"/>
              </w:rPr>
              <w:t>GB/T 3810.3</w:t>
            </w:r>
            <w:r>
              <w:rPr>
                <w:rFonts w:eastAsia="黑体"/>
                <w:sz w:val="18"/>
                <w:szCs w:val="18"/>
              </w:rPr>
              <w:t>-2016</w:t>
            </w:r>
          </w:p>
        </w:tc>
      </w:tr>
      <w:tr w:rsidR="00842080">
        <w:trPr>
          <w:trHeight w:val="507"/>
          <w:jc w:val="center"/>
        </w:trPr>
        <w:tc>
          <w:tcPr>
            <w:tcW w:w="720" w:type="dxa"/>
            <w:noWrap/>
            <w:vAlign w:val="center"/>
          </w:tcPr>
          <w:p w:rsidR="00842080" w:rsidRDefault="00231ED9">
            <w:pPr>
              <w:snapToGrid w:val="0"/>
              <w:jc w:val="center"/>
              <w:rPr>
                <w:rFonts w:eastAsia="黑体"/>
                <w:bCs/>
                <w:color w:val="000000"/>
                <w:sz w:val="18"/>
                <w:szCs w:val="18"/>
              </w:rPr>
            </w:pPr>
            <w:r>
              <w:rPr>
                <w:rFonts w:eastAsia="黑体"/>
                <w:bCs/>
                <w:color w:val="000000"/>
                <w:sz w:val="18"/>
                <w:szCs w:val="18"/>
              </w:rPr>
              <w:t>2</w:t>
            </w:r>
          </w:p>
        </w:tc>
        <w:tc>
          <w:tcPr>
            <w:tcW w:w="3384" w:type="dxa"/>
            <w:noWrap/>
            <w:vAlign w:val="center"/>
          </w:tcPr>
          <w:p w:rsidR="00842080" w:rsidRDefault="00231ED9">
            <w:pPr>
              <w:jc w:val="center"/>
              <w:rPr>
                <w:rFonts w:eastAsia="黑体"/>
                <w:sz w:val="18"/>
                <w:szCs w:val="18"/>
              </w:rPr>
            </w:pPr>
            <w:r>
              <w:rPr>
                <w:rFonts w:eastAsia="黑体" w:hAnsi="黑体"/>
                <w:sz w:val="18"/>
                <w:szCs w:val="18"/>
              </w:rPr>
              <w:t>断裂模数</w:t>
            </w:r>
          </w:p>
        </w:tc>
        <w:tc>
          <w:tcPr>
            <w:tcW w:w="2722" w:type="dxa"/>
            <w:vMerge/>
            <w:noWrap/>
            <w:vAlign w:val="center"/>
          </w:tcPr>
          <w:p w:rsidR="00842080" w:rsidRDefault="00842080">
            <w:pPr>
              <w:snapToGrid w:val="0"/>
              <w:jc w:val="center"/>
              <w:rPr>
                <w:rFonts w:eastAsia="黑体"/>
                <w:bCs/>
                <w:color w:val="000000"/>
                <w:sz w:val="18"/>
                <w:szCs w:val="18"/>
              </w:rPr>
            </w:pPr>
          </w:p>
        </w:tc>
        <w:tc>
          <w:tcPr>
            <w:tcW w:w="2470" w:type="dxa"/>
            <w:noWrap/>
            <w:vAlign w:val="center"/>
          </w:tcPr>
          <w:p w:rsidR="00842080" w:rsidRDefault="00231ED9">
            <w:pPr>
              <w:snapToGrid w:val="0"/>
              <w:jc w:val="center"/>
              <w:rPr>
                <w:rFonts w:eastAsia="黑体"/>
                <w:bCs/>
                <w:color w:val="000000"/>
                <w:sz w:val="18"/>
                <w:szCs w:val="18"/>
              </w:rPr>
            </w:pPr>
            <w:r>
              <w:rPr>
                <w:rFonts w:eastAsia="黑体"/>
                <w:bCs/>
                <w:sz w:val="18"/>
                <w:szCs w:val="18"/>
              </w:rPr>
              <w:t>GB/T 3810.4</w:t>
            </w:r>
            <w:r>
              <w:rPr>
                <w:rFonts w:eastAsia="黑体"/>
                <w:sz w:val="18"/>
                <w:szCs w:val="18"/>
              </w:rPr>
              <w:t>-2016</w:t>
            </w:r>
          </w:p>
        </w:tc>
      </w:tr>
      <w:tr w:rsidR="00842080">
        <w:trPr>
          <w:trHeight w:val="507"/>
          <w:jc w:val="center"/>
        </w:trPr>
        <w:tc>
          <w:tcPr>
            <w:tcW w:w="720" w:type="dxa"/>
            <w:noWrap/>
            <w:vAlign w:val="center"/>
          </w:tcPr>
          <w:p w:rsidR="00842080" w:rsidRDefault="00231ED9">
            <w:pPr>
              <w:snapToGrid w:val="0"/>
              <w:jc w:val="center"/>
              <w:rPr>
                <w:rFonts w:eastAsia="黑体"/>
                <w:bCs/>
                <w:color w:val="000000"/>
                <w:sz w:val="18"/>
                <w:szCs w:val="18"/>
              </w:rPr>
            </w:pPr>
            <w:r>
              <w:rPr>
                <w:rFonts w:eastAsia="黑体"/>
                <w:bCs/>
                <w:color w:val="000000"/>
                <w:sz w:val="18"/>
                <w:szCs w:val="18"/>
              </w:rPr>
              <w:t>3</w:t>
            </w:r>
          </w:p>
        </w:tc>
        <w:tc>
          <w:tcPr>
            <w:tcW w:w="3384" w:type="dxa"/>
            <w:noWrap/>
            <w:vAlign w:val="center"/>
          </w:tcPr>
          <w:p w:rsidR="00842080" w:rsidRDefault="00231ED9">
            <w:pPr>
              <w:snapToGrid w:val="0"/>
              <w:jc w:val="center"/>
              <w:rPr>
                <w:rFonts w:eastAsia="黑体"/>
                <w:bCs/>
                <w:color w:val="000000"/>
                <w:sz w:val="18"/>
                <w:szCs w:val="18"/>
              </w:rPr>
            </w:pPr>
            <w:r>
              <w:rPr>
                <w:rFonts w:eastAsia="黑体" w:hAnsi="黑体"/>
                <w:bCs/>
                <w:color w:val="000000"/>
                <w:sz w:val="18"/>
                <w:szCs w:val="18"/>
              </w:rPr>
              <w:t>破坏强度</w:t>
            </w:r>
          </w:p>
        </w:tc>
        <w:tc>
          <w:tcPr>
            <w:tcW w:w="2722" w:type="dxa"/>
            <w:vMerge/>
            <w:noWrap/>
            <w:vAlign w:val="center"/>
          </w:tcPr>
          <w:p w:rsidR="00842080" w:rsidRDefault="00842080">
            <w:pPr>
              <w:snapToGrid w:val="0"/>
              <w:jc w:val="center"/>
              <w:rPr>
                <w:rFonts w:eastAsia="黑体"/>
                <w:bCs/>
                <w:color w:val="000000"/>
                <w:sz w:val="18"/>
                <w:szCs w:val="18"/>
              </w:rPr>
            </w:pPr>
          </w:p>
        </w:tc>
        <w:tc>
          <w:tcPr>
            <w:tcW w:w="2470" w:type="dxa"/>
            <w:noWrap/>
            <w:vAlign w:val="center"/>
          </w:tcPr>
          <w:p w:rsidR="00842080" w:rsidRDefault="00231ED9">
            <w:pPr>
              <w:snapToGrid w:val="0"/>
              <w:jc w:val="center"/>
              <w:rPr>
                <w:rFonts w:eastAsia="黑体"/>
                <w:bCs/>
                <w:color w:val="000000"/>
                <w:sz w:val="18"/>
                <w:szCs w:val="18"/>
              </w:rPr>
            </w:pPr>
            <w:r>
              <w:rPr>
                <w:rFonts w:eastAsia="黑体"/>
                <w:bCs/>
                <w:sz w:val="18"/>
                <w:szCs w:val="18"/>
              </w:rPr>
              <w:t>GB/T 3810.4</w:t>
            </w:r>
            <w:r>
              <w:rPr>
                <w:rFonts w:eastAsia="黑体"/>
                <w:sz w:val="18"/>
                <w:szCs w:val="18"/>
              </w:rPr>
              <w:t>-2016</w:t>
            </w:r>
          </w:p>
        </w:tc>
      </w:tr>
      <w:tr w:rsidR="00842080">
        <w:trPr>
          <w:trHeight w:val="507"/>
          <w:jc w:val="center"/>
        </w:trPr>
        <w:tc>
          <w:tcPr>
            <w:tcW w:w="720" w:type="dxa"/>
            <w:noWrap/>
            <w:vAlign w:val="center"/>
          </w:tcPr>
          <w:p w:rsidR="00842080" w:rsidRDefault="00231ED9">
            <w:pPr>
              <w:snapToGrid w:val="0"/>
              <w:jc w:val="center"/>
              <w:rPr>
                <w:rFonts w:eastAsia="黑体"/>
                <w:bCs/>
                <w:color w:val="000000"/>
                <w:sz w:val="18"/>
                <w:szCs w:val="18"/>
              </w:rPr>
            </w:pPr>
            <w:r>
              <w:rPr>
                <w:rFonts w:eastAsia="黑体"/>
                <w:bCs/>
                <w:color w:val="000000"/>
                <w:sz w:val="18"/>
                <w:szCs w:val="18"/>
              </w:rPr>
              <w:t>4</w:t>
            </w:r>
          </w:p>
        </w:tc>
        <w:tc>
          <w:tcPr>
            <w:tcW w:w="3384" w:type="dxa"/>
            <w:noWrap/>
            <w:vAlign w:val="center"/>
          </w:tcPr>
          <w:p w:rsidR="00842080" w:rsidRDefault="00231ED9">
            <w:pPr>
              <w:snapToGrid w:val="0"/>
              <w:jc w:val="center"/>
              <w:rPr>
                <w:rFonts w:eastAsia="黑体"/>
                <w:sz w:val="18"/>
                <w:szCs w:val="18"/>
              </w:rPr>
            </w:pPr>
            <w:r>
              <w:rPr>
                <w:rFonts w:eastAsia="黑体" w:hAnsi="黑体"/>
                <w:sz w:val="18"/>
                <w:szCs w:val="18"/>
              </w:rPr>
              <w:t>放射性核素</w:t>
            </w:r>
          </w:p>
        </w:tc>
        <w:tc>
          <w:tcPr>
            <w:tcW w:w="2722" w:type="dxa"/>
            <w:noWrap/>
            <w:vAlign w:val="center"/>
          </w:tcPr>
          <w:p w:rsidR="00842080" w:rsidRDefault="00231ED9">
            <w:pPr>
              <w:snapToGrid w:val="0"/>
              <w:jc w:val="center"/>
              <w:rPr>
                <w:rFonts w:eastAsia="黑体"/>
                <w:bCs/>
                <w:color w:val="000000"/>
                <w:sz w:val="18"/>
                <w:szCs w:val="18"/>
              </w:rPr>
            </w:pPr>
            <w:r>
              <w:rPr>
                <w:rFonts w:eastAsia="黑体"/>
                <w:bCs/>
                <w:color w:val="000000"/>
                <w:sz w:val="18"/>
                <w:szCs w:val="18"/>
              </w:rPr>
              <w:t>GB 6566-2010</w:t>
            </w:r>
          </w:p>
        </w:tc>
        <w:tc>
          <w:tcPr>
            <w:tcW w:w="2470" w:type="dxa"/>
            <w:noWrap/>
            <w:vAlign w:val="center"/>
          </w:tcPr>
          <w:p w:rsidR="00842080" w:rsidRDefault="00231ED9">
            <w:pPr>
              <w:snapToGrid w:val="0"/>
              <w:jc w:val="center"/>
              <w:rPr>
                <w:rFonts w:eastAsia="黑体"/>
                <w:bCs/>
                <w:color w:val="000000"/>
                <w:sz w:val="18"/>
                <w:szCs w:val="18"/>
              </w:rPr>
            </w:pPr>
            <w:r>
              <w:rPr>
                <w:rFonts w:eastAsia="黑体"/>
                <w:bCs/>
                <w:color w:val="000000"/>
                <w:sz w:val="18"/>
                <w:szCs w:val="18"/>
              </w:rPr>
              <w:t>GB 6566-2010</w:t>
            </w:r>
          </w:p>
        </w:tc>
      </w:tr>
    </w:tbl>
    <w:p w:rsidR="00842080" w:rsidRDefault="00231ED9">
      <w:pPr>
        <w:snapToGrid w:val="0"/>
        <w:spacing w:line="360" w:lineRule="auto"/>
        <w:ind w:firstLineChars="200" w:firstLine="360"/>
        <w:rPr>
          <w:bCs/>
          <w:color w:val="000000"/>
          <w:sz w:val="18"/>
          <w:szCs w:val="18"/>
        </w:rPr>
      </w:pPr>
      <w:r>
        <w:rPr>
          <w:bCs/>
          <w:color w:val="000000"/>
          <w:sz w:val="18"/>
          <w:szCs w:val="18"/>
        </w:rPr>
        <w:t>注：上表所列检验项目是有关法律法规、标准等规定的，重点涉及健康、安全、节能、环保以及消费者、有关组织反映有质量问题的重要项目。</w:t>
      </w:r>
    </w:p>
    <w:p w:rsidR="00842080" w:rsidRDefault="00231ED9">
      <w:pPr>
        <w:snapToGrid w:val="0"/>
        <w:spacing w:line="360" w:lineRule="auto"/>
        <w:ind w:firstLineChars="200" w:firstLine="420"/>
        <w:rPr>
          <w:color w:val="000000"/>
          <w:szCs w:val="21"/>
        </w:rPr>
      </w:pPr>
      <w:r>
        <w:rPr>
          <w:color w:val="000000"/>
          <w:szCs w:val="21"/>
        </w:rPr>
        <w:t>检验方法包括相关产品标准及试验方法标准。</w:t>
      </w:r>
    </w:p>
    <w:p w:rsidR="00842080" w:rsidRDefault="00231ED9">
      <w:pPr>
        <w:snapToGrid w:val="0"/>
        <w:spacing w:line="360" w:lineRule="auto"/>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842080" w:rsidRDefault="00842080">
      <w:pPr>
        <w:snapToGrid w:val="0"/>
        <w:spacing w:line="360" w:lineRule="auto"/>
        <w:ind w:firstLineChars="200" w:firstLine="420"/>
        <w:rPr>
          <w:color w:val="000000"/>
          <w:szCs w:val="21"/>
        </w:rPr>
      </w:pPr>
    </w:p>
    <w:p w:rsidR="00842080" w:rsidRDefault="00231ED9">
      <w:pPr>
        <w:adjustRightInd w:val="0"/>
        <w:snapToGrid w:val="0"/>
        <w:spacing w:line="360" w:lineRule="auto"/>
        <w:rPr>
          <w:rFonts w:eastAsia="黑体"/>
          <w:b/>
          <w:szCs w:val="21"/>
        </w:rPr>
      </w:pPr>
      <w:r>
        <w:rPr>
          <w:rFonts w:eastAsia="黑体"/>
          <w:b/>
          <w:szCs w:val="21"/>
        </w:rPr>
        <w:t xml:space="preserve">3 </w:t>
      </w:r>
      <w:r>
        <w:rPr>
          <w:rFonts w:eastAsia="黑体"/>
          <w:b/>
          <w:szCs w:val="21"/>
        </w:rPr>
        <w:t>判定规则</w:t>
      </w:r>
    </w:p>
    <w:p w:rsidR="00842080" w:rsidRDefault="00231ED9">
      <w:pPr>
        <w:snapToGrid w:val="0"/>
        <w:spacing w:line="360" w:lineRule="auto"/>
        <w:rPr>
          <w:b/>
          <w:color w:val="000000"/>
          <w:szCs w:val="21"/>
        </w:rPr>
      </w:pPr>
      <w:r>
        <w:rPr>
          <w:rFonts w:eastAsiaTheme="minorEastAsia"/>
          <w:b/>
          <w:color w:val="000000"/>
          <w:szCs w:val="21"/>
        </w:rPr>
        <w:t>3.1</w:t>
      </w:r>
      <w:r>
        <w:rPr>
          <w:b/>
          <w:color w:val="000000"/>
          <w:szCs w:val="21"/>
        </w:rPr>
        <w:t>依据标准</w:t>
      </w:r>
    </w:p>
    <w:p w:rsidR="00842080" w:rsidRDefault="00231ED9">
      <w:pPr>
        <w:spacing w:line="360" w:lineRule="auto"/>
        <w:ind w:firstLineChars="200" w:firstLine="420"/>
        <w:jc w:val="left"/>
        <w:rPr>
          <w:rFonts w:eastAsiaTheme="minorEastAsia"/>
        </w:rPr>
      </w:pPr>
      <w:r>
        <w:rPr>
          <w:rFonts w:eastAsiaTheme="minorEastAsia"/>
        </w:rPr>
        <w:t xml:space="preserve">GB 6566-2010 </w:t>
      </w:r>
      <w:r>
        <w:rPr>
          <w:rFonts w:eastAsiaTheme="minorEastAsia" w:hAnsiTheme="minorEastAsia"/>
        </w:rPr>
        <w:t>建筑材料放射性核素限量</w:t>
      </w:r>
    </w:p>
    <w:p w:rsidR="00842080" w:rsidRDefault="00231ED9">
      <w:pPr>
        <w:spacing w:line="360" w:lineRule="auto"/>
        <w:ind w:firstLineChars="200" w:firstLine="420"/>
        <w:jc w:val="left"/>
        <w:rPr>
          <w:rFonts w:eastAsiaTheme="minorEastAsia"/>
        </w:rPr>
      </w:pPr>
      <w:r>
        <w:rPr>
          <w:rFonts w:eastAsiaTheme="minorEastAsia"/>
        </w:rPr>
        <w:lastRenderedPageBreak/>
        <w:t xml:space="preserve">GB/T 3810.3-2016  </w:t>
      </w:r>
      <w:r>
        <w:rPr>
          <w:rFonts w:eastAsiaTheme="minorEastAsia" w:hAnsiTheme="minorEastAsia"/>
        </w:rPr>
        <w:t>陶瓷砖试验方法第</w:t>
      </w:r>
      <w:r>
        <w:rPr>
          <w:rFonts w:eastAsiaTheme="minorEastAsia"/>
        </w:rPr>
        <w:t>3</w:t>
      </w:r>
      <w:r>
        <w:rPr>
          <w:rFonts w:eastAsiaTheme="minorEastAsia" w:hAnsiTheme="minorEastAsia"/>
        </w:rPr>
        <w:t>部分：吸水率、显气孔率、表观相对密度和容重的测定</w:t>
      </w:r>
    </w:p>
    <w:p w:rsidR="00842080" w:rsidRDefault="00231ED9">
      <w:pPr>
        <w:spacing w:line="360" w:lineRule="auto"/>
        <w:ind w:firstLineChars="200" w:firstLine="420"/>
        <w:jc w:val="left"/>
        <w:rPr>
          <w:rFonts w:eastAsiaTheme="minorEastAsia"/>
        </w:rPr>
      </w:pPr>
      <w:r>
        <w:rPr>
          <w:rFonts w:eastAsiaTheme="minorEastAsia"/>
        </w:rPr>
        <w:t xml:space="preserve">GB/T 3810.4-2016  </w:t>
      </w:r>
      <w:r>
        <w:rPr>
          <w:rFonts w:eastAsiaTheme="minorEastAsia" w:hAnsiTheme="minorEastAsia"/>
        </w:rPr>
        <w:t>陶瓷砖试验方法第</w:t>
      </w:r>
      <w:r>
        <w:rPr>
          <w:rFonts w:eastAsiaTheme="minorEastAsia"/>
        </w:rPr>
        <w:t>4</w:t>
      </w:r>
      <w:r>
        <w:rPr>
          <w:rFonts w:eastAsiaTheme="minorEastAsia" w:hAnsiTheme="minorEastAsia"/>
        </w:rPr>
        <w:t>部分：断裂模数和破坏强度的测定</w:t>
      </w:r>
    </w:p>
    <w:p w:rsidR="00842080" w:rsidRDefault="00231ED9">
      <w:pPr>
        <w:spacing w:line="360" w:lineRule="auto"/>
        <w:ind w:firstLineChars="200" w:firstLine="420"/>
        <w:jc w:val="left"/>
        <w:rPr>
          <w:rFonts w:eastAsiaTheme="minorEastAsia"/>
        </w:rPr>
      </w:pPr>
      <w:r>
        <w:rPr>
          <w:rFonts w:eastAsiaTheme="minorEastAsia"/>
        </w:rPr>
        <w:t xml:space="preserve">GB/T 4100-2015 </w:t>
      </w:r>
      <w:r>
        <w:rPr>
          <w:rFonts w:eastAsiaTheme="minorEastAsia" w:hAnsiTheme="minorEastAsia"/>
        </w:rPr>
        <w:t>陶瓷砖</w:t>
      </w:r>
    </w:p>
    <w:p w:rsidR="00842080" w:rsidRDefault="00231ED9">
      <w:pPr>
        <w:spacing w:line="360" w:lineRule="auto"/>
        <w:ind w:firstLineChars="200" w:firstLine="420"/>
        <w:rPr>
          <w:rFonts w:eastAsiaTheme="minorEastAsia"/>
        </w:rPr>
      </w:pPr>
      <w:r>
        <w:rPr>
          <w:rFonts w:eastAsiaTheme="minorEastAsia"/>
        </w:rPr>
        <w:t xml:space="preserve">CCGF 410-2015  </w:t>
      </w:r>
      <w:r>
        <w:rPr>
          <w:rFonts w:eastAsiaTheme="minorEastAsia" w:hAnsiTheme="minorEastAsia"/>
          <w:color w:val="000000"/>
          <w:szCs w:val="21"/>
        </w:rPr>
        <w:t>陶瓷砖产品质量监督抽查实施规范</w:t>
      </w:r>
    </w:p>
    <w:p w:rsidR="00842080" w:rsidRDefault="00231ED9">
      <w:pPr>
        <w:spacing w:line="360" w:lineRule="auto"/>
        <w:ind w:firstLineChars="200" w:firstLine="420"/>
      </w:pPr>
      <w:r>
        <w:rPr>
          <w:rFonts w:eastAsiaTheme="minorEastAsia" w:hAnsiTheme="minorEastAsia"/>
        </w:rPr>
        <w:t>现行有效的企业标准及产品明示质量要</w:t>
      </w:r>
      <w:r>
        <w:t>求</w:t>
      </w:r>
    </w:p>
    <w:p w:rsidR="00842080" w:rsidRDefault="00231ED9">
      <w:pPr>
        <w:spacing w:line="360" w:lineRule="auto"/>
        <w:ind w:firstLineChars="200" w:firstLine="420"/>
      </w:pPr>
      <w:r>
        <w:t>相关的法律法规、部门规章和规范</w:t>
      </w:r>
    </w:p>
    <w:p w:rsidR="00842080" w:rsidRDefault="00231ED9">
      <w:pPr>
        <w:spacing w:line="360" w:lineRule="auto"/>
        <w:rPr>
          <w:rFonts w:eastAsia="黑体"/>
          <w:b/>
        </w:rPr>
      </w:pPr>
      <w:r>
        <w:rPr>
          <w:rFonts w:eastAsia="黑体"/>
          <w:b/>
        </w:rPr>
        <w:t>3.2</w:t>
      </w:r>
      <w:r>
        <w:rPr>
          <w:rFonts w:eastAsia="黑体" w:hAnsi="黑体"/>
          <w:b/>
        </w:rPr>
        <w:t>判定原则</w:t>
      </w:r>
    </w:p>
    <w:p w:rsidR="00842080" w:rsidRDefault="00231ED9">
      <w:pPr>
        <w:spacing w:line="360" w:lineRule="auto"/>
        <w:rPr>
          <w:rFonts w:eastAsiaTheme="minorEastAsia"/>
          <w:b/>
        </w:rPr>
      </w:pPr>
      <w:r>
        <w:rPr>
          <w:rFonts w:eastAsiaTheme="minorEastAsia"/>
          <w:b/>
        </w:rPr>
        <w:t>3.2.1</w:t>
      </w:r>
      <w:r>
        <w:rPr>
          <w:rFonts w:eastAsiaTheme="minorEastAsia" w:hAnsiTheme="minorEastAsia"/>
          <w:b/>
        </w:rPr>
        <w:t>单项判定</w:t>
      </w:r>
    </w:p>
    <w:p w:rsidR="00842080" w:rsidRDefault="00231ED9">
      <w:pPr>
        <w:snapToGrid w:val="0"/>
        <w:spacing w:line="360" w:lineRule="auto"/>
        <w:rPr>
          <w:rFonts w:eastAsiaTheme="minorEastAsia"/>
          <w:color w:val="000000"/>
          <w:szCs w:val="21"/>
        </w:rPr>
      </w:pPr>
      <w:r>
        <w:rPr>
          <w:color w:val="000000"/>
          <w:szCs w:val="21"/>
        </w:rPr>
        <w:t>陶瓷砖的产品质量单项判</w:t>
      </w:r>
      <w:r>
        <w:rPr>
          <w:rFonts w:eastAsiaTheme="minorEastAsia" w:hAnsiTheme="minorEastAsia"/>
          <w:color w:val="000000"/>
          <w:szCs w:val="21"/>
        </w:rPr>
        <w:t>定见表</w:t>
      </w:r>
      <w:r>
        <w:rPr>
          <w:rFonts w:eastAsiaTheme="minorEastAsia"/>
          <w:color w:val="000000"/>
          <w:szCs w:val="21"/>
        </w:rPr>
        <w:t>2</w:t>
      </w:r>
      <w:r>
        <w:rPr>
          <w:rFonts w:eastAsiaTheme="minorEastAsia" w:hint="eastAsia"/>
          <w:color w:val="000000"/>
          <w:szCs w:val="21"/>
        </w:rPr>
        <w:t>。</w:t>
      </w:r>
    </w:p>
    <w:p w:rsidR="00842080" w:rsidRDefault="00231ED9">
      <w:pPr>
        <w:snapToGrid w:val="0"/>
        <w:spacing w:line="360" w:lineRule="auto"/>
        <w:jc w:val="center"/>
        <w:rPr>
          <w:bCs/>
          <w:color w:val="000000"/>
          <w:sz w:val="18"/>
          <w:szCs w:val="18"/>
        </w:rPr>
      </w:pPr>
      <w:r>
        <w:rPr>
          <w:rFonts w:eastAsiaTheme="minorEastAsia" w:hAnsiTheme="minorEastAsia"/>
          <w:bCs/>
          <w:color w:val="000000"/>
          <w:sz w:val="18"/>
          <w:szCs w:val="18"/>
        </w:rPr>
        <w:t>表</w:t>
      </w:r>
      <w:r>
        <w:rPr>
          <w:rFonts w:eastAsiaTheme="minorEastAsia"/>
          <w:bCs/>
          <w:color w:val="000000"/>
          <w:sz w:val="18"/>
          <w:szCs w:val="18"/>
        </w:rPr>
        <w:t xml:space="preserve">2  </w:t>
      </w:r>
      <w:r>
        <w:rPr>
          <w:rFonts w:eastAsiaTheme="minorEastAsia" w:hAnsiTheme="minorEastAsia"/>
          <w:bCs/>
          <w:color w:val="000000"/>
          <w:sz w:val="18"/>
          <w:szCs w:val="18"/>
        </w:rPr>
        <w:t>陶瓷砖</w:t>
      </w:r>
      <w:r>
        <w:rPr>
          <w:bCs/>
          <w:color w:val="000000"/>
          <w:sz w:val="18"/>
          <w:szCs w:val="18"/>
        </w:rPr>
        <w:t>的</w:t>
      </w:r>
      <w:r>
        <w:rPr>
          <w:color w:val="000000"/>
          <w:sz w:val="18"/>
          <w:szCs w:val="18"/>
        </w:rPr>
        <w:t>产品质量单项判定</w:t>
      </w:r>
    </w:p>
    <w:tbl>
      <w:tblPr>
        <w:tblStyle w:val="a8"/>
        <w:tblW w:w="0" w:type="auto"/>
        <w:tblLook w:val="04A0" w:firstRow="1" w:lastRow="0" w:firstColumn="1" w:lastColumn="0" w:noHBand="0" w:noVBand="1"/>
      </w:tblPr>
      <w:tblGrid>
        <w:gridCol w:w="817"/>
        <w:gridCol w:w="1985"/>
        <w:gridCol w:w="2409"/>
        <w:gridCol w:w="3792"/>
      </w:tblGrid>
      <w:tr w:rsidR="00842080">
        <w:tc>
          <w:tcPr>
            <w:tcW w:w="817" w:type="dxa"/>
            <w:vAlign w:val="center"/>
          </w:tcPr>
          <w:p w:rsidR="00842080" w:rsidRDefault="00231ED9">
            <w:pPr>
              <w:snapToGrid w:val="0"/>
              <w:spacing w:line="440" w:lineRule="exact"/>
              <w:jc w:val="center"/>
              <w:rPr>
                <w:rFonts w:eastAsia="黑体"/>
                <w:sz w:val="18"/>
                <w:szCs w:val="18"/>
              </w:rPr>
            </w:pPr>
            <w:r>
              <w:rPr>
                <w:rFonts w:eastAsia="黑体" w:hAnsi="黑体"/>
                <w:sz w:val="18"/>
                <w:szCs w:val="18"/>
              </w:rPr>
              <w:t>序号</w:t>
            </w:r>
          </w:p>
        </w:tc>
        <w:tc>
          <w:tcPr>
            <w:tcW w:w="1985" w:type="dxa"/>
            <w:vAlign w:val="center"/>
          </w:tcPr>
          <w:p w:rsidR="00842080" w:rsidRDefault="00231ED9">
            <w:pPr>
              <w:snapToGrid w:val="0"/>
              <w:spacing w:line="440" w:lineRule="exact"/>
              <w:jc w:val="center"/>
              <w:rPr>
                <w:rFonts w:eastAsia="黑体"/>
                <w:sz w:val="18"/>
                <w:szCs w:val="18"/>
              </w:rPr>
            </w:pPr>
            <w:r>
              <w:rPr>
                <w:rFonts w:eastAsia="黑体" w:hAnsi="黑体"/>
                <w:sz w:val="18"/>
                <w:szCs w:val="18"/>
              </w:rPr>
              <w:t>项目名称</w:t>
            </w:r>
          </w:p>
        </w:tc>
        <w:tc>
          <w:tcPr>
            <w:tcW w:w="2409" w:type="dxa"/>
            <w:vAlign w:val="center"/>
          </w:tcPr>
          <w:p w:rsidR="00842080" w:rsidRDefault="00231ED9">
            <w:pPr>
              <w:snapToGrid w:val="0"/>
              <w:spacing w:line="440" w:lineRule="exact"/>
              <w:jc w:val="center"/>
              <w:rPr>
                <w:rFonts w:eastAsia="黑体"/>
                <w:sz w:val="18"/>
                <w:szCs w:val="18"/>
              </w:rPr>
            </w:pPr>
            <w:r>
              <w:rPr>
                <w:rFonts w:eastAsia="黑体" w:hAnsi="黑体"/>
                <w:sz w:val="18"/>
                <w:szCs w:val="18"/>
              </w:rPr>
              <w:t>样本量</w:t>
            </w:r>
          </w:p>
        </w:tc>
        <w:tc>
          <w:tcPr>
            <w:tcW w:w="3792" w:type="dxa"/>
            <w:vAlign w:val="center"/>
          </w:tcPr>
          <w:p w:rsidR="00842080" w:rsidRDefault="00231ED9">
            <w:pPr>
              <w:snapToGrid w:val="0"/>
              <w:spacing w:line="440" w:lineRule="exact"/>
              <w:jc w:val="center"/>
              <w:rPr>
                <w:rFonts w:eastAsia="黑体"/>
                <w:sz w:val="18"/>
                <w:szCs w:val="18"/>
              </w:rPr>
            </w:pPr>
            <w:r>
              <w:rPr>
                <w:rFonts w:eastAsia="黑体" w:hAnsi="黑体"/>
                <w:sz w:val="18"/>
                <w:szCs w:val="18"/>
              </w:rPr>
              <w:t>判定细则</w:t>
            </w:r>
          </w:p>
        </w:tc>
      </w:tr>
      <w:tr w:rsidR="00842080">
        <w:tc>
          <w:tcPr>
            <w:tcW w:w="817" w:type="dxa"/>
            <w:vMerge w:val="restart"/>
            <w:vAlign w:val="center"/>
          </w:tcPr>
          <w:p w:rsidR="00842080" w:rsidRDefault="00231ED9">
            <w:pPr>
              <w:snapToGrid w:val="0"/>
              <w:spacing w:line="440" w:lineRule="exact"/>
              <w:jc w:val="center"/>
              <w:rPr>
                <w:rFonts w:eastAsia="黑体"/>
                <w:sz w:val="18"/>
                <w:szCs w:val="18"/>
              </w:rPr>
            </w:pPr>
            <w:r>
              <w:rPr>
                <w:rFonts w:eastAsia="黑体"/>
                <w:sz w:val="18"/>
                <w:szCs w:val="18"/>
              </w:rPr>
              <w:t>1</w:t>
            </w:r>
          </w:p>
        </w:tc>
        <w:tc>
          <w:tcPr>
            <w:tcW w:w="1985" w:type="dxa"/>
            <w:vMerge w:val="restart"/>
            <w:vAlign w:val="center"/>
          </w:tcPr>
          <w:p w:rsidR="00842080" w:rsidRDefault="00231ED9">
            <w:pPr>
              <w:snapToGrid w:val="0"/>
              <w:spacing w:line="440" w:lineRule="exact"/>
              <w:jc w:val="center"/>
              <w:rPr>
                <w:rFonts w:eastAsia="黑体"/>
                <w:sz w:val="18"/>
                <w:szCs w:val="18"/>
              </w:rPr>
            </w:pPr>
            <w:r>
              <w:rPr>
                <w:rFonts w:eastAsia="黑体" w:hAnsi="黑体"/>
                <w:sz w:val="18"/>
                <w:szCs w:val="18"/>
              </w:rPr>
              <w:t>吸水率</w:t>
            </w: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5</w:t>
            </w:r>
            <w:r>
              <w:rPr>
                <w:rFonts w:eastAsia="黑体"/>
                <w:sz w:val="18"/>
                <w:szCs w:val="18"/>
                <w:vertAlign w:val="superscript"/>
              </w:rPr>
              <w:t>a</w:t>
            </w:r>
          </w:p>
        </w:tc>
        <w:tc>
          <w:tcPr>
            <w:tcW w:w="3792" w:type="dxa"/>
            <w:vMerge w:val="restart"/>
            <w:vAlign w:val="center"/>
          </w:tcPr>
          <w:p w:rsidR="00842080" w:rsidRDefault="00231ED9">
            <w:pPr>
              <w:snapToGrid w:val="0"/>
              <w:spacing w:line="440" w:lineRule="exact"/>
              <w:jc w:val="center"/>
              <w:rPr>
                <w:rFonts w:eastAsia="黑体"/>
                <w:sz w:val="18"/>
                <w:szCs w:val="18"/>
              </w:rPr>
            </w:pPr>
            <w:r>
              <w:rPr>
                <w:rFonts w:eastAsia="黑体" w:hAnsi="黑体"/>
                <w:sz w:val="18"/>
                <w:szCs w:val="18"/>
              </w:rPr>
              <w:t>平均值和单值符合标准要求，</w:t>
            </w:r>
            <w:r>
              <w:rPr>
                <w:rFonts w:eastAsia="黑体"/>
                <w:sz w:val="18"/>
                <w:szCs w:val="18"/>
              </w:rPr>
              <w:t>Ac=0,Re=1</w:t>
            </w:r>
          </w:p>
        </w:tc>
      </w:tr>
      <w:tr w:rsidR="00842080">
        <w:tc>
          <w:tcPr>
            <w:tcW w:w="817" w:type="dxa"/>
            <w:vMerge/>
            <w:vAlign w:val="center"/>
          </w:tcPr>
          <w:p w:rsidR="00842080" w:rsidRDefault="00842080">
            <w:pPr>
              <w:snapToGrid w:val="0"/>
              <w:spacing w:line="440" w:lineRule="exact"/>
              <w:jc w:val="center"/>
              <w:rPr>
                <w:rFonts w:eastAsia="黑体"/>
                <w:sz w:val="18"/>
                <w:szCs w:val="18"/>
              </w:rPr>
            </w:pPr>
          </w:p>
        </w:tc>
        <w:tc>
          <w:tcPr>
            <w:tcW w:w="1985" w:type="dxa"/>
            <w:vMerge/>
            <w:vAlign w:val="center"/>
          </w:tcPr>
          <w:p w:rsidR="00842080" w:rsidRDefault="00842080">
            <w:pPr>
              <w:snapToGrid w:val="0"/>
              <w:spacing w:line="440" w:lineRule="exact"/>
              <w:jc w:val="center"/>
              <w:rPr>
                <w:rFonts w:eastAsia="黑体"/>
                <w:sz w:val="18"/>
                <w:szCs w:val="18"/>
              </w:rPr>
            </w:pP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10</w:t>
            </w:r>
          </w:p>
        </w:tc>
        <w:tc>
          <w:tcPr>
            <w:tcW w:w="3792" w:type="dxa"/>
            <w:vMerge/>
            <w:vAlign w:val="center"/>
          </w:tcPr>
          <w:p w:rsidR="00842080" w:rsidRDefault="00842080">
            <w:pPr>
              <w:snapToGrid w:val="0"/>
              <w:spacing w:line="440" w:lineRule="exact"/>
              <w:jc w:val="center"/>
              <w:rPr>
                <w:rFonts w:eastAsia="黑体"/>
                <w:sz w:val="18"/>
                <w:szCs w:val="18"/>
              </w:rPr>
            </w:pPr>
          </w:p>
        </w:tc>
      </w:tr>
      <w:tr w:rsidR="00842080">
        <w:tc>
          <w:tcPr>
            <w:tcW w:w="817" w:type="dxa"/>
            <w:vMerge w:val="restart"/>
            <w:vAlign w:val="center"/>
          </w:tcPr>
          <w:p w:rsidR="00842080" w:rsidRDefault="00231ED9">
            <w:pPr>
              <w:snapToGrid w:val="0"/>
              <w:spacing w:line="440" w:lineRule="exact"/>
              <w:jc w:val="center"/>
              <w:rPr>
                <w:rFonts w:eastAsia="黑体"/>
                <w:sz w:val="18"/>
                <w:szCs w:val="18"/>
              </w:rPr>
            </w:pPr>
            <w:r>
              <w:rPr>
                <w:rFonts w:eastAsia="黑体"/>
                <w:sz w:val="18"/>
                <w:szCs w:val="18"/>
              </w:rPr>
              <w:t>2</w:t>
            </w:r>
          </w:p>
        </w:tc>
        <w:tc>
          <w:tcPr>
            <w:tcW w:w="1985" w:type="dxa"/>
            <w:vMerge w:val="restart"/>
            <w:vAlign w:val="center"/>
          </w:tcPr>
          <w:p w:rsidR="00842080" w:rsidRDefault="00231ED9">
            <w:pPr>
              <w:snapToGrid w:val="0"/>
              <w:spacing w:line="440" w:lineRule="exact"/>
              <w:jc w:val="center"/>
              <w:rPr>
                <w:rFonts w:eastAsia="黑体"/>
                <w:sz w:val="18"/>
                <w:szCs w:val="18"/>
              </w:rPr>
            </w:pPr>
            <w:r>
              <w:rPr>
                <w:rFonts w:eastAsia="黑体" w:hAnsi="黑体"/>
                <w:sz w:val="18"/>
                <w:szCs w:val="18"/>
              </w:rPr>
              <w:t>破坏强度</w:t>
            </w: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7</w:t>
            </w:r>
            <w:r>
              <w:rPr>
                <w:rFonts w:eastAsia="黑体"/>
                <w:sz w:val="18"/>
                <w:szCs w:val="18"/>
                <w:vertAlign w:val="superscript"/>
              </w:rPr>
              <w:t>b</w:t>
            </w:r>
          </w:p>
        </w:tc>
        <w:tc>
          <w:tcPr>
            <w:tcW w:w="3792" w:type="dxa"/>
            <w:vMerge w:val="restart"/>
            <w:vAlign w:val="center"/>
          </w:tcPr>
          <w:p w:rsidR="00842080" w:rsidRDefault="00231ED9">
            <w:pPr>
              <w:snapToGrid w:val="0"/>
              <w:spacing w:line="440" w:lineRule="exact"/>
              <w:jc w:val="center"/>
              <w:rPr>
                <w:rFonts w:eastAsia="黑体"/>
                <w:sz w:val="18"/>
                <w:szCs w:val="18"/>
              </w:rPr>
            </w:pPr>
            <w:r>
              <w:rPr>
                <w:rFonts w:eastAsia="黑体" w:hAnsi="黑体"/>
                <w:sz w:val="18"/>
                <w:szCs w:val="18"/>
              </w:rPr>
              <w:t>平均值符合标准要求</w:t>
            </w:r>
          </w:p>
        </w:tc>
      </w:tr>
      <w:tr w:rsidR="00842080">
        <w:tc>
          <w:tcPr>
            <w:tcW w:w="817" w:type="dxa"/>
            <w:vMerge/>
            <w:vAlign w:val="center"/>
          </w:tcPr>
          <w:p w:rsidR="00842080" w:rsidRDefault="00842080">
            <w:pPr>
              <w:snapToGrid w:val="0"/>
              <w:spacing w:line="440" w:lineRule="exact"/>
              <w:jc w:val="center"/>
              <w:rPr>
                <w:rFonts w:eastAsia="黑体"/>
                <w:sz w:val="18"/>
                <w:szCs w:val="18"/>
              </w:rPr>
            </w:pPr>
          </w:p>
        </w:tc>
        <w:tc>
          <w:tcPr>
            <w:tcW w:w="1985" w:type="dxa"/>
            <w:vMerge/>
            <w:vAlign w:val="center"/>
          </w:tcPr>
          <w:p w:rsidR="00842080" w:rsidRDefault="00842080">
            <w:pPr>
              <w:snapToGrid w:val="0"/>
              <w:spacing w:line="440" w:lineRule="exact"/>
              <w:jc w:val="center"/>
              <w:rPr>
                <w:rFonts w:eastAsia="黑体"/>
                <w:sz w:val="18"/>
                <w:szCs w:val="18"/>
              </w:rPr>
            </w:pP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10</w:t>
            </w:r>
          </w:p>
        </w:tc>
        <w:tc>
          <w:tcPr>
            <w:tcW w:w="3792" w:type="dxa"/>
            <w:vMerge/>
            <w:vAlign w:val="center"/>
          </w:tcPr>
          <w:p w:rsidR="00842080" w:rsidRDefault="00842080">
            <w:pPr>
              <w:snapToGrid w:val="0"/>
              <w:spacing w:line="440" w:lineRule="exact"/>
              <w:jc w:val="center"/>
              <w:rPr>
                <w:rFonts w:eastAsia="黑体"/>
                <w:sz w:val="18"/>
                <w:szCs w:val="18"/>
              </w:rPr>
            </w:pPr>
          </w:p>
        </w:tc>
      </w:tr>
      <w:tr w:rsidR="00842080">
        <w:tc>
          <w:tcPr>
            <w:tcW w:w="817" w:type="dxa"/>
            <w:vMerge w:val="restart"/>
            <w:vAlign w:val="center"/>
          </w:tcPr>
          <w:p w:rsidR="00842080" w:rsidRDefault="00231ED9">
            <w:pPr>
              <w:snapToGrid w:val="0"/>
              <w:spacing w:line="440" w:lineRule="exact"/>
              <w:jc w:val="center"/>
              <w:rPr>
                <w:rFonts w:eastAsia="黑体"/>
                <w:sz w:val="18"/>
                <w:szCs w:val="18"/>
              </w:rPr>
            </w:pPr>
            <w:r>
              <w:rPr>
                <w:rFonts w:eastAsia="黑体"/>
                <w:sz w:val="18"/>
                <w:szCs w:val="18"/>
              </w:rPr>
              <w:t>3</w:t>
            </w:r>
          </w:p>
        </w:tc>
        <w:tc>
          <w:tcPr>
            <w:tcW w:w="1985" w:type="dxa"/>
            <w:vMerge w:val="restart"/>
            <w:vAlign w:val="center"/>
          </w:tcPr>
          <w:p w:rsidR="00842080" w:rsidRDefault="00231ED9">
            <w:pPr>
              <w:snapToGrid w:val="0"/>
              <w:spacing w:line="440" w:lineRule="exact"/>
              <w:jc w:val="center"/>
              <w:rPr>
                <w:rFonts w:eastAsia="黑体"/>
                <w:sz w:val="18"/>
                <w:szCs w:val="18"/>
              </w:rPr>
            </w:pPr>
            <w:r>
              <w:rPr>
                <w:rFonts w:eastAsia="黑体" w:hAnsi="黑体"/>
                <w:sz w:val="18"/>
                <w:szCs w:val="18"/>
              </w:rPr>
              <w:t>断裂模数</w:t>
            </w: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7</w:t>
            </w:r>
            <w:r>
              <w:rPr>
                <w:rFonts w:eastAsia="黑体"/>
                <w:sz w:val="18"/>
                <w:szCs w:val="18"/>
                <w:vertAlign w:val="superscript"/>
              </w:rPr>
              <w:t>b</w:t>
            </w:r>
          </w:p>
        </w:tc>
        <w:tc>
          <w:tcPr>
            <w:tcW w:w="3792" w:type="dxa"/>
            <w:vMerge w:val="restart"/>
            <w:vAlign w:val="center"/>
          </w:tcPr>
          <w:p w:rsidR="00842080" w:rsidRDefault="00231ED9">
            <w:pPr>
              <w:snapToGrid w:val="0"/>
              <w:spacing w:line="440" w:lineRule="exact"/>
              <w:jc w:val="center"/>
              <w:rPr>
                <w:rFonts w:eastAsia="黑体"/>
                <w:sz w:val="18"/>
                <w:szCs w:val="18"/>
              </w:rPr>
            </w:pPr>
            <w:r>
              <w:rPr>
                <w:rFonts w:eastAsia="黑体" w:hAnsi="黑体"/>
                <w:sz w:val="18"/>
                <w:szCs w:val="18"/>
              </w:rPr>
              <w:t>平均值和单值符合标准要求，</w:t>
            </w:r>
            <w:r>
              <w:rPr>
                <w:rFonts w:eastAsia="黑体"/>
                <w:sz w:val="18"/>
                <w:szCs w:val="18"/>
              </w:rPr>
              <w:t>Ac=0,Re=1</w:t>
            </w:r>
          </w:p>
        </w:tc>
      </w:tr>
      <w:tr w:rsidR="00842080">
        <w:tc>
          <w:tcPr>
            <w:tcW w:w="817" w:type="dxa"/>
            <w:vMerge/>
            <w:vAlign w:val="center"/>
          </w:tcPr>
          <w:p w:rsidR="00842080" w:rsidRDefault="00842080">
            <w:pPr>
              <w:snapToGrid w:val="0"/>
              <w:spacing w:line="440" w:lineRule="exact"/>
              <w:jc w:val="center"/>
              <w:rPr>
                <w:rFonts w:eastAsia="黑体"/>
                <w:sz w:val="18"/>
                <w:szCs w:val="18"/>
              </w:rPr>
            </w:pPr>
          </w:p>
        </w:tc>
        <w:tc>
          <w:tcPr>
            <w:tcW w:w="1985" w:type="dxa"/>
            <w:vMerge/>
            <w:vAlign w:val="center"/>
          </w:tcPr>
          <w:p w:rsidR="00842080" w:rsidRDefault="00842080">
            <w:pPr>
              <w:snapToGrid w:val="0"/>
              <w:spacing w:line="440" w:lineRule="exact"/>
              <w:jc w:val="center"/>
              <w:rPr>
                <w:rFonts w:eastAsia="黑体"/>
                <w:sz w:val="18"/>
                <w:szCs w:val="18"/>
              </w:rPr>
            </w:pP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10</w:t>
            </w:r>
          </w:p>
        </w:tc>
        <w:tc>
          <w:tcPr>
            <w:tcW w:w="3792" w:type="dxa"/>
            <w:vMerge/>
            <w:vAlign w:val="center"/>
          </w:tcPr>
          <w:p w:rsidR="00842080" w:rsidRDefault="00842080">
            <w:pPr>
              <w:snapToGrid w:val="0"/>
              <w:spacing w:line="440" w:lineRule="exact"/>
              <w:jc w:val="center"/>
              <w:rPr>
                <w:rFonts w:eastAsia="黑体"/>
                <w:sz w:val="18"/>
                <w:szCs w:val="18"/>
              </w:rPr>
            </w:pPr>
          </w:p>
        </w:tc>
      </w:tr>
      <w:tr w:rsidR="00842080">
        <w:tc>
          <w:tcPr>
            <w:tcW w:w="817" w:type="dxa"/>
            <w:vAlign w:val="center"/>
          </w:tcPr>
          <w:p w:rsidR="00842080" w:rsidRDefault="00231ED9">
            <w:pPr>
              <w:snapToGrid w:val="0"/>
              <w:spacing w:line="440" w:lineRule="exact"/>
              <w:jc w:val="center"/>
              <w:rPr>
                <w:rFonts w:eastAsia="黑体"/>
                <w:sz w:val="18"/>
                <w:szCs w:val="18"/>
              </w:rPr>
            </w:pPr>
            <w:r>
              <w:rPr>
                <w:rFonts w:eastAsia="黑体"/>
                <w:sz w:val="18"/>
                <w:szCs w:val="18"/>
              </w:rPr>
              <w:t>4</w:t>
            </w:r>
          </w:p>
        </w:tc>
        <w:tc>
          <w:tcPr>
            <w:tcW w:w="1985" w:type="dxa"/>
            <w:vAlign w:val="center"/>
          </w:tcPr>
          <w:p w:rsidR="00842080" w:rsidRDefault="00231ED9">
            <w:pPr>
              <w:snapToGrid w:val="0"/>
              <w:spacing w:line="440" w:lineRule="exact"/>
              <w:jc w:val="center"/>
              <w:rPr>
                <w:rFonts w:eastAsia="黑体"/>
                <w:sz w:val="18"/>
                <w:szCs w:val="18"/>
              </w:rPr>
            </w:pPr>
            <w:r>
              <w:rPr>
                <w:rFonts w:eastAsia="黑体" w:hAnsi="黑体"/>
                <w:sz w:val="18"/>
                <w:szCs w:val="18"/>
              </w:rPr>
              <w:t>放射性核素</w:t>
            </w:r>
          </w:p>
        </w:tc>
        <w:tc>
          <w:tcPr>
            <w:tcW w:w="2409" w:type="dxa"/>
            <w:vAlign w:val="center"/>
          </w:tcPr>
          <w:p w:rsidR="00842080" w:rsidRDefault="00231ED9">
            <w:pPr>
              <w:snapToGrid w:val="0"/>
              <w:spacing w:line="440" w:lineRule="exact"/>
              <w:jc w:val="center"/>
              <w:rPr>
                <w:rFonts w:eastAsia="黑体"/>
                <w:sz w:val="18"/>
                <w:szCs w:val="18"/>
              </w:rPr>
            </w:pPr>
            <w:r>
              <w:rPr>
                <w:rFonts w:eastAsia="黑体"/>
                <w:sz w:val="18"/>
                <w:szCs w:val="18"/>
              </w:rPr>
              <w:t>2.0kg</w:t>
            </w:r>
          </w:p>
        </w:tc>
        <w:tc>
          <w:tcPr>
            <w:tcW w:w="3792" w:type="dxa"/>
            <w:vAlign w:val="center"/>
          </w:tcPr>
          <w:p w:rsidR="00842080" w:rsidRDefault="00231ED9">
            <w:pPr>
              <w:snapToGrid w:val="0"/>
              <w:spacing w:line="440" w:lineRule="exact"/>
              <w:jc w:val="center"/>
              <w:rPr>
                <w:rFonts w:eastAsia="黑体"/>
                <w:sz w:val="18"/>
                <w:szCs w:val="18"/>
              </w:rPr>
            </w:pPr>
            <w:r>
              <w:rPr>
                <w:rFonts w:eastAsia="黑体" w:hAnsi="黑体"/>
                <w:sz w:val="18"/>
                <w:szCs w:val="18"/>
              </w:rPr>
              <w:t>按产品明示等级判定</w:t>
            </w:r>
          </w:p>
        </w:tc>
      </w:tr>
      <w:tr w:rsidR="00842080">
        <w:tc>
          <w:tcPr>
            <w:tcW w:w="9003" w:type="dxa"/>
            <w:gridSpan w:val="4"/>
            <w:vAlign w:val="center"/>
          </w:tcPr>
          <w:p w:rsidR="00842080" w:rsidRDefault="00231ED9">
            <w:pPr>
              <w:snapToGrid w:val="0"/>
              <w:jc w:val="left"/>
              <w:rPr>
                <w:rFonts w:eastAsia="黑体"/>
                <w:sz w:val="18"/>
                <w:szCs w:val="18"/>
              </w:rPr>
            </w:pPr>
            <w:r>
              <w:rPr>
                <w:rFonts w:eastAsia="黑体"/>
                <w:sz w:val="18"/>
                <w:szCs w:val="18"/>
                <w:vertAlign w:val="superscript"/>
              </w:rPr>
              <w:t>a</w:t>
            </w:r>
            <w:r>
              <w:rPr>
                <w:rFonts w:eastAsia="黑体" w:hAnsi="黑体"/>
                <w:sz w:val="18"/>
                <w:szCs w:val="18"/>
              </w:rPr>
              <w:t>仅指单块砖表面积</w:t>
            </w:r>
            <w:r>
              <w:rPr>
                <w:rFonts w:eastAsia="黑体"/>
                <w:sz w:val="18"/>
                <w:szCs w:val="18"/>
              </w:rPr>
              <w:t>≥0.04m</w:t>
            </w:r>
            <w:r>
              <w:rPr>
                <w:rFonts w:eastAsia="黑体"/>
                <w:sz w:val="18"/>
                <w:szCs w:val="18"/>
                <w:vertAlign w:val="superscript"/>
              </w:rPr>
              <w:t>2</w:t>
            </w:r>
            <w:r>
              <w:rPr>
                <w:rFonts w:eastAsia="黑体" w:hAnsi="黑体"/>
                <w:sz w:val="18"/>
                <w:szCs w:val="18"/>
              </w:rPr>
              <w:t>。每块砖质量＜</w:t>
            </w:r>
            <w:r>
              <w:rPr>
                <w:rFonts w:eastAsia="黑体"/>
                <w:sz w:val="18"/>
                <w:szCs w:val="18"/>
              </w:rPr>
              <w:t>50g</w:t>
            </w:r>
            <w:r>
              <w:rPr>
                <w:rFonts w:eastAsia="黑体" w:hAnsi="黑体"/>
                <w:sz w:val="18"/>
                <w:szCs w:val="18"/>
              </w:rPr>
              <w:t>时应取足够数量的砖构成</w:t>
            </w:r>
            <w:r>
              <w:rPr>
                <w:rFonts w:eastAsia="黑体"/>
                <w:sz w:val="18"/>
                <w:szCs w:val="18"/>
              </w:rPr>
              <w:t>5</w:t>
            </w:r>
            <w:r>
              <w:rPr>
                <w:rFonts w:eastAsia="黑体" w:hAnsi="黑体"/>
                <w:sz w:val="18"/>
                <w:szCs w:val="18"/>
              </w:rPr>
              <w:t>组试样，使每组试样质量在</w:t>
            </w:r>
            <w:r>
              <w:rPr>
                <w:rFonts w:eastAsia="黑体"/>
                <w:sz w:val="18"/>
                <w:szCs w:val="18"/>
              </w:rPr>
              <w:t>50g</w:t>
            </w:r>
            <w:r>
              <w:rPr>
                <w:rFonts w:eastAsia="黑体" w:hAnsi="黑体"/>
                <w:sz w:val="18"/>
                <w:szCs w:val="18"/>
              </w:rPr>
              <w:t>～</w:t>
            </w:r>
            <w:r>
              <w:rPr>
                <w:rFonts w:eastAsia="黑体"/>
                <w:sz w:val="18"/>
                <w:szCs w:val="18"/>
              </w:rPr>
              <w:t>100g</w:t>
            </w:r>
            <w:r>
              <w:rPr>
                <w:rFonts w:eastAsia="黑体" w:hAnsi="黑体"/>
                <w:sz w:val="18"/>
                <w:szCs w:val="18"/>
              </w:rPr>
              <w:t>之间。</w:t>
            </w:r>
          </w:p>
          <w:p w:rsidR="00842080" w:rsidRDefault="00231ED9">
            <w:pPr>
              <w:snapToGrid w:val="0"/>
              <w:jc w:val="left"/>
              <w:rPr>
                <w:rFonts w:eastAsia="黑体"/>
                <w:sz w:val="18"/>
                <w:szCs w:val="18"/>
              </w:rPr>
            </w:pPr>
            <w:r>
              <w:rPr>
                <w:rFonts w:eastAsia="黑体"/>
                <w:sz w:val="18"/>
                <w:szCs w:val="18"/>
                <w:vertAlign w:val="superscript"/>
              </w:rPr>
              <w:t>b</w:t>
            </w:r>
            <w:r>
              <w:rPr>
                <w:rFonts w:eastAsia="黑体" w:hAnsi="黑体"/>
                <w:sz w:val="18"/>
                <w:szCs w:val="18"/>
              </w:rPr>
              <w:t>仅适用于边长</w:t>
            </w:r>
            <w:r>
              <w:rPr>
                <w:rFonts w:eastAsia="黑体"/>
                <w:sz w:val="18"/>
                <w:szCs w:val="18"/>
              </w:rPr>
              <w:t>≥48mm</w:t>
            </w:r>
            <w:r>
              <w:rPr>
                <w:rFonts w:eastAsia="黑体" w:hAnsi="黑体"/>
                <w:sz w:val="18"/>
                <w:szCs w:val="18"/>
              </w:rPr>
              <w:t>的砖。</w:t>
            </w:r>
          </w:p>
        </w:tc>
      </w:tr>
    </w:tbl>
    <w:p w:rsidR="00842080" w:rsidRDefault="00231ED9">
      <w:pPr>
        <w:snapToGrid w:val="0"/>
        <w:spacing w:line="360" w:lineRule="auto"/>
        <w:rPr>
          <w:rFonts w:eastAsiaTheme="minorEastAsia"/>
          <w:b/>
          <w:color w:val="000000"/>
          <w:szCs w:val="21"/>
        </w:rPr>
      </w:pPr>
      <w:r>
        <w:rPr>
          <w:rFonts w:eastAsiaTheme="minorEastAsia"/>
          <w:b/>
          <w:color w:val="000000"/>
          <w:szCs w:val="21"/>
        </w:rPr>
        <w:t xml:space="preserve">3.2.2 </w:t>
      </w:r>
      <w:r>
        <w:rPr>
          <w:rFonts w:eastAsiaTheme="minorEastAsia" w:hAnsiTheme="minorEastAsia"/>
          <w:b/>
          <w:color w:val="000000"/>
          <w:szCs w:val="21"/>
        </w:rPr>
        <w:t>综合判定</w:t>
      </w:r>
    </w:p>
    <w:p w:rsidR="00842080" w:rsidRDefault="00231ED9">
      <w:pPr>
        <w:snapToGrid w:val="0"/>
        <w:spacing w:line="360" w:lineRule="auto"/>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842080" w:rsidRDefault="00231ED9" w:rsidP="008A7F99">
      <w:pPr>
        <w:snapToGrid w:val="0"/>
        <w:spacing w:line="360" w:lineRule="auto"/>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842080" w:rsidRDefault="00231ED9" w:rsidP="008A7F99">
      <w:pPr>
        <w:snapToGrid w:val="0"/>
        <w:spacing w:line="360" w:lineRule="auto"/>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842080" w:rsidRDefault="00231ED9" w:rsidP="008A7F99">
      <w:pPr>
        <w:snapToGrid w:val="0"/>
        <w:spacing w:line="360" w:lineRule="auto"/>
        <w:ind w:firstLineChars="199" w:firstLine="418"/>
        <w:rPr>
          <w:szCs w:val="21"/>
        </w:rPr>
      </w:pPr>
      <w:r>
        <w:rPr>
          <w:szCs w:val="21"/>
        </w:rPr>
        <w:t>若被检产品明示的质量要求低于或包含细则中检验项目依据的推荐性标准要求时，应以被检产品明示的质量要求判定，但应在检验报告备注中进行说明。</w:t>
      </w:r>
    </w:p>
    <w:p w:rsidR="00842080" w:rsidRDefault="00231ED9" w:rsidP="008A7F99">
      <w:pPr>
        <w:snapToGrid w:val="0"/>
        <w:spacing w:line="360" w:lineRule="auto"/>
        <w:ind w:firstLineChars="199" w:firstLine="418"/>
        <w:rPr>
          <w:color w:val="000000"/>
          <w:szCs w:val="21"/>
        </w:rPr>
      </w:pPr>
      <w:r>
        <w:rPr>
          <w:color w:val="000000"/>
          <w:szCs w:val="21"/>
        </w:rPr>
        <w:t>若被检产品明示的质量要求缺少本细则中检验项目依据的强制性标准要求时，应按照强制性标</w:t>
      </w:r>
      <w:r>
        <w:rPr>
          <w:color w:val="000000"/>
          <w:szCs w:val="21"/>
        </w:rPr>
        <w:lastRenderedPageBreak/>
        <w:t>准要求判定。</w:t>
      </w:r>
    </w:p>
    <w:p w:rsidR="00842080" w:rsidRDefault="00231ED9" w:rsidP="008A7F99">
      <w:pPr>
        <w:snapToGrid w:val="0"/>
        <w:spacing w:line="360" w:lineRule="auto"/>
        <w:ind w:firstLineChars="199" w:firstLine="418"/>
        <w:rPr>
          <w:color w:val="000000"/>
          <w:szCs w:val="21"/>
        </w:rPr>
      </w:pPr>
      <w:r>
        <w:rPr>
          <w:color w:val="000000"/>
          <w:szCs w:val="21"/>
        </w:rPr>
        <w:t>若被检产品明示的质量要求缺少本细则中检验项目依据的推荐性标准要求时，该项目不参与判定，但</w:t>
      </w:r>
      <w:r>
        <w:rPr>
          <w:color w:val="000000"/>
          <w:szCs w:val="21"/>
        </w:rPr>
        <w:t>应在检验报告备注中进行说明。</w:t>
      </w:r>
    </w:p>
    <w:p w:rsidR="00842080" w:rsidRDefault="008A7F99" w:rsidP="008A7F99">
      <w:pPr>
        <w:snapToGrid w:val="0"/>
        <w:spacing w:line="360" w:lineRule="auto"/>
        <w:ind w:firstLineChars="199" w:firstLine="418"/>
        <w:rPr>
          <w:color w:val="000000"/>
          <w:szCs w:val="21"/>
        </w:rPr>
      </w:pPr>
      <w:r>
        <w:rPr>
          <w:noProof/>
          <w:color w:val="000000"/>
          <w:szCs w:val="21"/>
        </w:rPr>
        <mc:AlternateContent>
          <mc:Choice Requires="wps">
            <w:drawing>
              <wp:anchor distT="0" distB="0" distL="114300" distR="114300" simplePos="0" relativeHeight="251658240" behindDoc="0" locked="0" layoutInCell="1" allowOverlap="1">
                <wp:simplePos x="0" y="0"/>
                <wp:positionH relativeFrom="column">
                  <wp:posOffset>1336675</wp:posOffset>
                </wp:positionH>
                <wp:positionV relativeFrom="paragraph">
                  <wp:posOffset>45085</wp:posOffset>
                </wp:positionV>
                <wp:extent cx="2560320" cy="0"/>
                <wp:effectExtent l="12700" t="6985" r="8255"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032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105.25pt;margin-top:3.55pt;width:201.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" strokeweight=".5pt"/>
            </w:pict>
          </mc:Fallback>
        </mc:AlternateContent>
      </w:r>
    </w:p>
    <w:p w:rsidR="00842080" w:rsidRDefault="00842080" w:rsidP="00842080">
      <w:pPr>
        <w:snapToGrid w:val="0"/>
        <w:spacing w:line="360" w:lineRule="auto"/>
        <w:ind w:firstLineChars="199" w:firstLine="418"/>
        <w:rPr>
          <w:color w:val="000000"/>
          <w:szCs w:val="21"/>
        </w:rPr>
      </w:pPr>
    </w:p>
    <w:sectPr w:rsidR="00842080">
      <w:headerReference w:type="default" r:id="rId8"/>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ED9" w:rsidRDefault="00231ED9">
      <w:r>
        <w:separator/>
      </w:r>
    </w:p>
  </w:endnote>
  <w:endnote w:type="continuationSeparator" w:id="0">
    <w:p w:rsidR="00231ED9" w:rsidRDefault="0023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80" w:rsidRDefault="00231ED9">
    <w:pPr>
      <w:pStyle w:val="a6"/>
      <w:framePr w:wrap="around" w:vAnchor="text" w:hAnchor="margin" w:xAlign="center" w:y="1"/>
      <w:rPr>
        <w:rStyle w:val="a9"/>
      </w:rPr>
    </w:pPr>
    <w:r>
      <w:fldChar w:fldCharType="begin"/>
    </w:r>
    <w:r>
      <w:rPr>
        <w:rStyle w:val="a9"/>
      </w:rPr>
      <w:instrText xml:space="preserve">PAGE  </w:instrText>
    </w:r>
    <w:r>
      <w:fldChar w:fldCharType="separate"/>
    </w:r>
    <w:r>
      <w:rPr>
        <w:rStyle w:val="a9"/>
      </w:rPr>
      <w:t>2</w:t>
    </w:r>
    <w:r>
      <w:fldChar w:fldCharType="end"/>
    </w:r>
  </w:p>
  <w:p w:rsidR="00842080" w:rsidRDefault="0084208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80" w:rsidRDefault="00231ED9">
    <w:pPr>
      <w:pStyle w:val="a6"/>
      <w:jc w:val="center"/>
    </w:pPr>
    <w:r>
      <w:rPr>
        <w:lang w:val="zh-CN"/>
      </w:rPr>
      <w:fldChar w:fldCharType="begin"/>
    </w:r>
    <w:r>
      <w:rPr>
        <w:lang w:val="zh-CN"/>
      </w:rPr>
      <w:instrText xml:space="preserve"> PAGE   \* MERGEFORMAT </w:instrText>
    </w:r>
    <w:r>
      <w:rPr>
        <w:lang w:val="zh-CN"/>
      </w:rPr>
      <w:fldChar w:fldCharType="separate"/>
    </w:r>
    <w:r w:rsidR="008A7F99" w:rsidRPr="008A7F99">
      <w:rPr>
        <w:noProof/>
      </w:rPr>
      <w:t>1</w:t>
    </w:r>
    <w:r>
      <w:rPr>
        <w:lang w:val="zh-CN"/>
      </w:rPr>
      <w:fldChar w:fldCharType="end"/>
    </w:r>
  </w:p>
  <w:p w:rsidR="00842080" w:rsidRDefault="0084208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ED9" w:rsidRDefault="00231ED9">
      <w:r>
        <w:separator/>
      </w:r>
    </w:p>
  </w:footnote>
  <w:footnote w:type="continuationSeparator" w:id="0">
    <w:p w:rsidR="00231ED9" w:rsidRDefault="00231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80" w:rsidRDefault="00842080">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18"/>
    <w:rsid w:val="00006407"/>
    <w:rsid w:val="00012FFC"/>
    <w:rsid w:val="000276A9"/>
    <w:rsid w:val="00035064"/>
    <w:rsid w:val="00037D8D"/>
    <w:rsid w:val="00051A44"/>
    <w:rsid w:val="00071001"/>
    <w:rsid w:val="00081CBD"/>
    <w:rsid w:val="00085C9E"/>
    <w:rsid w:val="000918FF"/>
    <w:rsid w:val="000976DE"/>
    <w:rsid w:val="000B3971"/>
    <w:rsid w:val="000D0007"/>
    <w:rsid w:val="000F64F9"/>
    <w:rsid w:val="000F6E44"/>
    <w:rsid w:val="001035C2"/>
    <w:rsid w:val="0011052E"/>
    <w:rsid w:val="00166304"/>
    <w:rsid w:val="001715A9"/>
    <w:rsid w:val="00172A27"/>
    <w:rsid w:val="00175489"/>
    <w:rsid w:val="001754B1"/>
    <w:rsid w:val="001773F8"/>
    <w:rsid w:val="001809DD"/>
    <w:rsid w:val="0018638C"/>
    <w:rsid w:val="001B4E46"/>
    <w:rsid w:val="001C4F34"/>
    <w:rsid w:val="001D1FBC"/>
    <w:rsid w:val="001D6824"/>
    <w:rsid w:val="001E03EB"/>
    <w:rsid w:val="001E4729"/>
    <w:rsid w:val="001E4E18"/>
    <w:rsid w:val="001F2AB4"/>
    <w:rsid w:val="00200495"/>
    <w:rsid w:val="00210539"/>
    <w:rsid w:val="00223317"/>
    <w:rsid w:val="002255F1"/>
    <w:rsid w:val="00231ED9"/>
    <w:rsid w:val="002516F2"/>
    <w:rsid w:val="00253624"/>
    <w:rsid w:val="0026403D"/>
    <w:rsid w:val="002710B5"/>
    <w:rsid w:val="00274E3E"/>
    <w:rsid w:val="002825C2"/>
    <w:rsid w:val="00287B95"/>
    <w:rsid w:val="00293B52"/>
    <w:rsid w:val="002A7D1C"/>
    <w:rsid w:val="002B50E7"/>
    <w:rsid w:val="002D72A2"/>
    <w:rsid w:val="002D7F8A"/>
    <w:rsid w:val="002E0BA1"/>
    <w:rsid w:val="002E0D1D"/>
    <w:rsid w:val="002E1EAC"/>
    <w:rsid w:val="002E68A8"/>
    <w:rsid w:val="002E772A"/>
    <w:rsid w:val="002F267E"/>
    <w:rsid w:val="002F49EA"/>
    <w:rsid w:val="00306A87"/>
    <w:rsid w:val="003203A3"/>
    <w:rsid w:val="00360125"/>
    <w:rsid w:val="00371567"/>
    <w:rsid w:val="00375E4A"/>
    <w:rsid w:val="0039208F"/>
    <w:rsid w:val="00392A15"/>
    <w:rsid w:val="003B226D"/>
    <w:rsid w:val="003B47E3"/>
    <w:rsid w:val="003C06D8"/>
    <w:rsid w:val="003C388C"/>
    <w:rsid w:val="003C4CFD"/>
    <w:rsid w:val="003D0118"/>
    <w:rsid w:val="003E4890"/>
    <w:rsid w:val="003E61BF"/>
    <w:rsid w:val="003F1C80"/>
    <w:rsid w:val="0041165A"/>
    <w:rsid w:val="00411B27"/>
    <w:rsid w:val="00427D8E"/>
    <w:rsid w:val="00441CD2"/>
    <w:rsid w:val="00442A9A"/>
    <w:rsid w:val="00445E86"/>
    <w:rsid w:val="00457A50"/>
    <w:rsid w:val="00463336"/>
    <w:rsid w:val="00474E04"/>
    <w:rsid w:val="00474EC4"/>
    <w:rsid w:val="004820E0"/>
    <w:rsid w:val="00490A9C"/>
    <w:rsid w:val="004A2393"/>
    <w:rsid w:val="004D0C5A"/>
    <w:rsid w:val="004D0E11"/>
    <w:rsid w:val="004D25D5"/>
    <w:rsid w:val="004E1396"/>
    <w:rsid w:val="004F4DF1"/>
    <w:rsid w:val="00507B2F"/>
    <w:rsid w:val="00512EE9"/>
    <w:rsid w:val="00515553"/>
    <w:rsid w:val="005317D6"/>
    <w:rsid w:val="005608C8"/>
    <w:rsid w:val="00560BA9"/>
    <w:rsid w:val="00563EBC"/>
    <w:rsid w:val="00565222"/>
    <w:rsid w:val="00590506"/>
    <w:rsid w:val="005920B7"/>
    <w:rsid w:val="005A3331"/>
    <w:rsid w:val="005A440B"/>
    <w:rsid w:val="005B0F83"/>
    <w:rsid w:val="005D61DB"/>
    <w:rsid w:val="006241C7"/>
    <w:rsid w:val="00626CB1"/>
    <w:rsid w:val="00643C90"/>
    <w:rsid w:val="006617E9"/>
    <w:rsid w:val="00664DE7"/>
    <w:rsid w:val="006661AC"/>
    <w:rsid w:val="006B3511"/>
    <w:rsid w:val="006B7ACD"/>
    <w:rsid w:val="006F0971"/>
    <w:rsid w:val="007035AB"/>
    <w:rsid w:val="007064E0"/>
    <w:rsid w:val="007076A7"/>
    <w:rsid w:val="00720D95"/>
    <w:rsid w:val="00721C12"/>
    <w:rsid w:val="0072334C"/>
    <w:rsid w:val="00732FE5"/>
    <w:rsid w:val="0074174D"/>
    <w:rsid w:val="00756A15"/>
    <w:rsid w:val="007626BB"/>
    <w:rsid w:val="00764B44"/>
    <w:rsid w:val="00782B2C"/>
    <w:rsid w:val="007A4851"/>
    <w:rsid w:val="007B3BBD"/>
    <w:rsid w:val="007C6565"/>
    <w:rsid w:val="007D4454"/>
    <w:rsid w:val="007D5622"/>
    <w:rsid w:val="007E0CC8"/>
    <w:rsid w:val="007F26B4"/>
    <w:rsid w:val="0080654F"/>
    <w:rsid w:val="008121A2"/>
    <w:rsid w:val="0081453E"/>
    <w:rsid w:val="008167CC"/>
    <w:rsid w:val="00832480"/>
    <w:rsid w:val="0083350B"/>
    <w:rsid w:val="00833A7C"/>
    <w:rsid w:val="00835F10"/>
    <w:rsid w:val="00842080"/>
    <w:rsid w:val="0084366D"/>
    <w:rsid w:val="00854F6E"/>
    <w:rsid w:val="00865D04"/>
    <w:rsid w:val="00875457"/>
    <w:rsid w:val="008775D8"/>
    <w:rsid w:val="00895BEA"/>
    <w:rsid w:val="008A0055"/>
    <w:rsid w:val="008A0FF4"/>
    <w:rsid w:val="008A3497"/>
    <w:rsid w:val="008A5AF6"/>
    <w:rsid w:val="008A5D98"/>
    <w:rsid w:val="008A7F99"/>
    <w:rsid w:val="008B2E01"/>
    <w:rsid w:val="008B69C6"/>
    <w:rsid w:val="008B6AA6"/>
    <w:rsid w:val="008C602D"/>
    <w:rsid w:val="008D6D27"/>
    <w:rsid w:val="008F250A"/>
    <w:rsid w:val="008F2CA7"/>
    <w:rsid w:val="009055F7"/>
    <w:rsid w:val="00916DA0"/>
    <w:rsid w:val="00917A54"/>
    <w:rsid w:val="00924E95"/>
    <w:rsid w:val="009339AE"/>
    <w:rsid w:val="00936209"/>
    <w:rsid w:val="009439DD"/>
    <w:rsid w:val="0094409B"/>
    <w:rsid w:val="009443F6"/>
    <w:rsid w:val="00960473"/>
    <w:rsid w:val="009659A3"/>
    <w:rsid w:val="00972E10"/>
    <w:rsid w:val="00973B12"/>
    <w:rsid w:val="0098161F"/>
    <w:rsid w:val="00986872"/>
    <w:rsid w:val="009A6542"/>
    <w:rsid w:val="009D29B0"/>
    <w:rsid w:val="009D5D9E"/>
    <w:rsid w:val="009D7B49"/>
    <w:rsid w:val="009E04D1"/>
    <w:rsid w:val="009E73FD"/>
    <w:rsid w:val="009F265F"/>
    <w:rsid w:val="009F6B32"/>
    <w:rsid w:val="00A43553"/>
    <w:rsid w:val="00A437FE"/>
    <w:rsid w:val="00A62B41"/>
    <w:rsid w:val="00A8284B"/>
    <w:rsid w:val="00A8778B"/>
    <w:rsid w:val="00A95167"/>
    <w:rsid w:val="00A97BCF"/>
    <w:rsid w:val="00AA2B3B"/>
    <w:rsid w:val="00AA2BE0"/>
    <w:rsid w:val="00AB47A2"/>
    <w:rsid w:val="00AC0AA9"/>
    <w:rsid w:val="00AC2C98"/>
    <w:rsid w:val="00AD1654"/>
    <w:rsid w:val="00AD5446"/>
    <w:rsid w:val="00AE089D"/>
    <w:rsid w:val="00AF064D"/>
    <w:rsid w:val="00B052CD"/>
    <w:rsid w:val="00B07D2D"/>
    <w:rsid w:val="00B11A9D"/>
    <w:rsid w:val="00B21ADC"/>
    <w:rsid w:val="00B41CCD"/>
    <w:rsid w:val="00B4421F"/>
    <w:rsid w:val="00B47D30"/>
    <w:rsid w:val="00B6027C"/>
    <w:rsid w:val="00B60FC4"/>
    <w:rsid w:val="00B71D32"/>
    <w:rsid w:val="00B7215B"/>
    <w:rsid w:val="00B82651"/>
    <w:rsid w:val="00B85F42"/>
    <w:rsid w:val="00B92EA8"/>
    <w:rsid w:val="00BA29DB"/>
    <w:rsid w:val="00BA39E8"/>
    <w:rsid w:val="00BA444C"/>
    <w:rsid w:val="00BA604C"/>
    <w:rsid w:val="00BB2083"/>
    <w:rsid w:val="00BC0F3D"/>
    <w:rsid w:val="00BC11AA"/>
    <w:rsid w:val="00BC2570"/>
    <w:rsid w:val="00BD5E15"/>
    <w:rsid w:val="00BF04E2"/>
    <w:rsid w:val="00BF2499"/>
    <w:rsid w:val="00C04BB6"/>
    <w:rsid w:val="00C11645"/>
    <w:rsid w:val="00C166CD"/>
    <w:rsid w:val="00C24760"/>
    <w:rsid w:val="00C26074"/>
    <w:rsid w:val="00C353D5"/>
    <w:rsid w:val="00C42388"/>
    <w:rsid w:val="00C5014D"/>
    <w:rsid w:val="00C54BC5"/>
    <w:rsid w:val="00C54FB2"/>
    <w:rsid w:val="00C6172D"/>
    <w:rsid w:val="00C7797C"/>
    <w:rsid w:val="00C77CE3"/>
    <w:rsid w:val="00C83B0A"/>
    <w:rsid w:val="00C94824"/>
    <w:rsid w:val="00CB4CFB"/>
    <w:rsid w:val="00CB776D"/>
    <w:rsid w:val="00CC3A2A"/>
    <w:rsid w:val="00CC3BFE"/>
    <w:rsid w:val="00CC3F7B"/>
    <w:rsid w:val="00CC6DD3"/>
    <w:rsid w:val="00CE1E0C"/>
    <w:rsid w:val="00CE277E"/>
    <w:rsid w:val="00CF6800"/>
    <w:rsid w:val="00D15D3E"/>
    <w:rsid w:val="00D31AD0"/>
    <w:rsid w:val="00D356AC"/>
    <w:rsid w:val="00D43A99"/>
    <w:rsid w:val="00D4481A"/>
    <w:rsid w:val="00D45E0D"/>
    <w:rsid w:val="00D56643"/>
    <w:rsid w:val="00D56867"/>
    <w:rsid w:val="00DB6E0E"/>
    <w:rsid w:val="00DC19FC"/>
    <w:rsid w:val="00DC7251"/>
    <w:rsid w:val="00DE5A74"/>
    <w:rsid w:val="00DF135C"/>
    <w:rsid w:val="00E02A7F"/>
    <w:rsid w:val="00E07880"/>
    <w:rsid w:val="00E14D5F"/>
    <w:rsid w:val="00E14F8D"/>
    <w:rsid w:val="00E1783F"/>
    <w:rsid w:val="00E20E35"/>
    <w:rsid w:val="00E314F7"/>
    <w:rsid w:val="00E6470F"/>
    <w:rsid w:val="00E70B34"/>
    <w:rsid w:val="00E753E6"/>
    <w:rsid w:val="00E82621"/>
    <w:rsid w:val="00E82AA9"/>
    <w:rsid w:val="00E8357A"/>
    <w:rsid w:val="00E85E2F"/>
    <w:rsid w:val="00EB2BD1"/>
    <w:rsid w:val="00EC01EC"/>
    <w:rsid w:val="00ED7E50"/>
    <w:rsid w:val="00EE2F85"/>
    <w:rsid w:val="00EE53BC"/>
    <w:rsid w:val="00F01BEC"/>
    <w:rsid w:val="00F030E4"/>
    <w:rsid w:val="00F370D1"/>
    <w:rsid w:val="00F41F1B"/>
    <w:rsid w:val="00F500F6"/>
    <w:rsid w:val="00F50CA3"/>
    <w:rsid w:val="00F51B27"/>
    <w:rsid w:val="00F5233C"/>
    <w:rsid w:val="00F721D8"/>
    <w:rsid w:val="00F761A0"/>
    <w:rsid w:val="00F77C9A"/>
    <w:rsid w:val="00F86EF0"/>
    <w:rsid w:val="00F908FE"/>
    <w:rsid w:val="00F9402A"/>
    <w:rsid w:val="00F9792E"/>
    <w:rsid w:val="00FA489A"/>
    <w:rsid w:val="00FB2570"/>
    <w:rsid w:val="00FB576C"/>
    <w:rsid w:val="00FC116E"/>
    <w:rsid w:val="00FC425B"/>
    <w:rsid w:val="00FD2AA6"/>
    <w:rsid w:val="00FE7E8A"/>
    <w:rsid w:val="00FF477D"/>
    <w:rsid w:val="0F4A7D3F"/>
    <w:rsid w:val="19A2504A"/>
    <w:rsid w:val="19BE3706"/>
    <w:rsid w:val="1AD97324"/>
    <w:rsid w:val="1B310649"/>
    <w:rsid w:val="1BA004BA"/>
    <w:rsid w:val="1BAC7F86"/>
    <w:rsid w:val="21271E30"/>
    <w:rsid w:val="22A70FE7"/>
    <w:rsid w:val="25901ED5"/>
    <w:rsid w:val="27EE2B60"/>
    <w:rsid w:val="2A520044"/>
    <w:rsid w:val="308675AA"/>
    <w:rsid w:val="3BA713EC"/>
    <w:rsid w:val="3E6E32C4"/>
    <w:rsid w:val="4BEC1766"/>
    <w:rsid w:val="4C224BFA"/>
    <w:rsid w:val="4F891FE9"/>
    <w:rsid w:val="50052A51"/>
    <w:rsid w:val="52133DDD"/>
    <w:rsid w:val="56A3467A"/>
    <w:rsid w:val="5A522FD2"/>
    <w:rsid w:val="60387B56"/>
    <w:rsid w:val="61192D8B"/>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page number"/>
    <w:basedOn w:val="a0"/>
  </w:style>
  <w:style w:type="character" w:styleId="aa">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4"/>
    <w:uiPriority w:val="99"/>
    <w:semiHidden/>
    <w:rPr>
      <w:kern w:val="2"/>
      <w:sz w:val="21"/>
      <w:szCs w:val="24"/>
    </w:rPr>
  </w:style>
  <w:style w:type="character" w:customStyle="1" w:styleId="Char2">
    <w:name w:val="页脚 Char"/>
    <w:link w:val="a6"/>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7"/>
    <w:uiPriority w:val="99"/>
    <w:semiHidden/>
    <w:rPr>
      <w:kern w:val="2"/>
      <w:sz w:val="18"/>
      <w:szCs w:val="18"/>
    </w:rPr>
  </w:style>
  <w:style w:type="character" w:customStyle="1" w:styleId="Char1">
    <w:name w:val="批注框文本 Char"/>
    <w:link w:val="a5"/>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3Char">
    <w:name w:val="标题 3 Char"/>
    <w:basedOn w:val="a0"/>
    <w:link w:val="3"/>
    <w:uiPriority w:val="9"/>
    <w:qFormat/>
    <w:rPr>
      <w:rFonts w:ascii="宋体" w:hAnsi="宋体" w:cs="宋体"/>
      <w:b/>
      <w:bCs/>
      <w:sz w:val="27"/>
      <w:szCs w:val="27"/>
    </w:rPr>
  </w:style>
  <w:style w:type="character" w:customStyle="1" w:styleId="Char10">
    <w:name w:val="批注文字 Char1"/>
    <w:basedOn w:val="a0"/>
    <w:qFormat/>
    <w:lock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page number"/>
    <w:basedOn w:val="a0"/>
  </w:style>
  <w:style w:type="character" w:styleId="aa">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4"/>
    <w:uiPriority w:val="99"/>
    <w:semiHidden/>
    <w:rPr>
      <w:kern w:val="2"/>
      <w:sz w:val="21"/>
      <w:szCs w:val="24"/>
    </w:rPr>
  </w:style>
  <w:style w:type="character" w:customStyle="1" w:styleId="Char2">
    <w:name w:val="页脚 Char"/>
    <w:link w:val="a6"/>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7"/>
    <w:uiPriority w:val="99"/>
    <w:semiHidden/>
    <w:rPr>
      <w:kern w:val="2"/>
      <w:sz w:val="18"/>
      <w:szCs w:val="18"/>
    </w:rPr>
  </w:style>
  <w:style w:type="character" w:customStyle="1" w:styleId="Char1">
    <w:name w:val="批注框文本 Char"/>
    <w:link w:val="a5"/>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3Char">
    <w:name w:val="标题 3 Char"/>
    <w:basedOn w:val="a0"/>
    <w:link w:val="3"/>
    <w:uiPriority w:val="9"/>
    <w:qFormat/>
    <w:rPr>
      <w:rFonts w:ascii="宋体" w:hAnsi="宋体" w:cs="宋体"/>
      <w:b/>
      <w:bCs/>
      <w:sz w:val="27"/>
      <w:szCs w:val="27"/>
    </w:rPr>
  </w:style>
  <w:style w:type="character" w:customStyle="1" w:styleId="Char10">
    <w:name w:val="批注文字 Char1"/>
    <w:basedOn w:val="a0"/>
    <w:qFormat/>
    <w:lock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228</Words>
  <Characters>1306</Characters>
  <Application>Microsoft Office Word</Application>
  <DocSecurity>0</DocSecurity>
  <Lines>10</Lines>
  <Paragraphs>3</Paragraphs>
  <ScaleCrop>false</ScaleCrop>
  <Company>Legend (Beijing) Limited</Company>
  <LinksUpToDate>false</LinksUpToDate>
  <CharactersWithSpaces>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2020-05-06T09:00:00Z</cp:lastPrinted>
  <dcterms:created xsi:type="dcterms:W3CDTF">2020-09-04T11:21:00Z</dcterms:created>
  <dcterms:modified xsi:type="dcterms:W3CDTF">2020-09-04T11:21:00Z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